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5111" w:rsidRPr="00805111" w:rsidRDefault="00805111" w:rsidP="00805111">
      <w:pPr>
        <w:spacing w:after="0" w:line="240" w:lineRule="auto"/>
        <w:rPr>
          <w:rFonts w:ascii="Times New Roman" w:eastAsia="Times New Roman" w:hAnsi="Times New Roman" w:cs="David"/>
          <w:noProof/>
          <w:sz w:val="24"/>
          <w:szCs w:val="24"/>
        </w:rPr>
      </w:pPr>
      <w:bookmarkStart w:id="0" w:name="_GoBack"/>
      <w:bookmarkEnd w:id="0"/>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805111" w:rsidRPr="00805111" w:rsidTr="00027473">
        <w:trPr>
          <w:trHeight w:val="295"/>
          <w:jc w:val="center"/>
        </w:trPr>
        <w:tc>
          <w:tcPr>
            <w:tcW w:w="5049" w:type="dxa"/>
            <w:gridSpan w:val="3"/>
          </w:tcPr>
          <w:p w:rsidR="00805111" w:rsidRPr="00805111" w:rsidRDefault="00805111" w:rsidP="00805111">
            <w:pPr>
              <w:ind w:left="720"/>
              <w:contextualSpacing/>
              <w:rPr>
                <w:rFonts w:ascii="Arial" w:hAnsi="Arial" w:cs="David"/>
                <w:b/>
                <w:bCs/>
                <w:sz w:val="26"/>
                <w:szCs w:val="26"/>
                <w:rtl/>
              </w:rPr>
            </w:pPr>
          </w:p>
        </w:tc>
        <w:tc>
          <w:tcPr>
            <w:tcW w:w="3771" w:type="dxa"/>
          </w:tcPr>
          <w:p w:rsidR="00805111" w:rsidRPr="00805111" w:rsidRDefault="00805111" w:rsidP="00805111">
            <w:pPr>
              <w:ind w:left="720"/>
              <w:contextualSpacing/>
              <w:jc w:val="right"/>
              <w:rPr>
                <w:rFonts w:ascii="Arial" w:hAnsi="Arial" w:cs="David"/>
                <w:b/>
                <w:bCs/>
                <w:sz w:val="26"/>
                <w:szCs w:val="26"/>
                <w:rtl/>
              </w:rPr>
            </w:pPr>
            <w:r w:rsidRPr="00805111">
              <w:rPr>
                <w:rFonts w:ascii="Arial" w:hAnsi="Arial" w:cs="David"/>
                <w:b/>
                <w:bCs/>
                <w:sz w:val="26"/>
                <w:szCs w:val="26"/>
                <w:rtl/>
              </w:rPr>
              <w:t>מספר בקשה:54</w:t>
            </w:r>
          </w:p>
        </w:tc>
      </w:tr>
      <w:tr w:rsidR="00805111" w:rsidRPr="00805111" w:rsidTr="00027473">
        <w:trPr>
          <w:jc w:val="center"/>
        </w:trPr>
        <w:tc>
          <w:tcPr>
            <w:tcW w:w="743" w:type="dxa"/>
          </w:tcPr>
          <w:p w:rsidR="00805111" w:rsidRPr="00805111" w:rsidRDefault="00805111" w:rsidP="00805111">
            <w:pPr>
              <w:contextualSpacing/>
              <w:jc w:val="both"/>
              <w:rPr>
                <w:rFonts w:ascii="Arial" w:hAnsi="Arial" w:cs="David"/>
                <w:b/>
                <w:bCs/>
                <w:noProof/>
                <w:sz w:val="26"/>
                <w:szCs w:val="26"/>
              </w:rPr>
            </w:pPr>
            <w:r w:rsidRPr="00805111">
              <w:rPr>
                <w:rFonts w:ascii="Arial" w:hAnsi="Arial" w:cs="David"/>
                <w:b/>
                <w:bCs/>
                <w:sz w:val="26"/>
                <w:szCs w:val="26"/>
                <w:rtl/>
              </w:rPr>
              <w:t xml:space="preserve">בפני </w:t>
            </w:r>
          </w:p>
        </w:tc>
        <w:tc>
          <w:tcPr>
            <w:tcW w:w="8077" w:type="dxa"/>
            <w:gridSpan w:val="3"/>
          </w:tcPr>
          <w:p w:rsidR="00805111" w:rsidRPr="00805111" w:rsidRDefault="00805111" w:rsidP="00805111">
            <w:pPr>
              <w:ind w:left="720"/>
              <w:contextualSpacing/>
              <w:rPr>
                <w:rFonts w:ascii="Arial" w:hAnsi="Arial" w:cs="David"/>
                <w:b/>
                <w:bCs/>
                <w:sz w:val="26"/>
                <w:szCs w:val="26"/>
                <w:rtl/>
              </w:rPr>
            </w:pPr>
            <w:r w:rsidRPr="00805111">
              <w:rPr>
                <w:rFonts w:ascii="Arial" w:hAnsi="Arial" w:cs="David"/>
                <w:b/>
                <w:bCs/>
                <w:sz w:val="26"/>
                <w:szCs w:val="26"/>
                <w:rtl/>
              </w:rPr>
              <w:t>כב' השופטת  תמר סנונית פורר</w:t>
            </w:r>
          </w:p>
          <w:p w:rsidR="00805111" w:rsidRPr="00805111" w:rsidRDefault="00805111" w:rsidP="00805111">
            <w:pPr>
              <w:ind w:left="720"/>
              <w:contextualSpacing/>
              <w:rPr>
                <w:rFonts w:ascii="Arial" w:hAnsi="Arial" w:cs="FrankRuehl"/>
                <w:noProof/>
                <w:sz w:val="26"/>
                <w:szCs w:val="26"/>
                <w:highlight w:val="yellow"/>
              </w:rPr>
            </w:pPr>
          </w:p>
        </w:tc>
      </w:tr>
      <w:tr w:rsidR="00805111" w:rsidRPr="00805111" w:rsidTr="00027473">
        <w:trPr>
          <w:jc w:val="center"/>
        </w:trPr>
        <w:tc>
          <w:tcPr>
            <w:tcW w:w="3249" w:type="dxa"/>
            <w:gridSpan w:val="2"/>
          </w:tcPr>
          <w:p w:rsidR="00805111" w:rsidRPr="00805111" w:rsidRDefault="00805111" w:rsidP="00805111">
            <w:pPr>
              <w:bidi w:val="0"/>
              <w:ind w:left="720"/>
              <w:contextualSpacing/>
              <w:jc w:val="right"/>
              <w:rPr>
                <w:rFonts w:ascii="Arial" w:hAnsi="Arial" w:cs="David"/>
                <w:b/>
                <w:bCs/>
                <w:sz w:val="26"/>
                <w:szCs w:val="26"/>
              </w:rPr>
            </w:pPr>
          </w:p>
          <w:p w:rsidR="00805111" w:rsidRPr="00805111" w:rsidRDefault="00805111" w:rsidP="00805111">
            <w:pPr>
              <w:bidi w:val="0"/>
              <w:ind w:left="720"/>
              <w:contextualSpacing/>
              <w:jc w:val="right"/>
              <w:rPr>
                <w:rFonts w:ascii="Arial" w:hAnsi="Arial" w:cs="David"/>
                <w:b/>
                <w:bCs/>
                <w:sz w:val="26"/>
                <w:szCs w:val="26"/>
                <w:rtl/>
              </w:rPr>
            </w:pPr>
            <w:r w:rsidRPr="00805111">
              <w:rPr>
                <w:rFonts w:ascii="Arial" w:hAnsi="Arial" w:cs="David"/>
                <w:b/>
                <w:bCs/>
                <w:sz w:val="26"/>
                <w:szCs w:val="26"/>
                <w:rtl/>
              </w:rPr>
              <w:t>המבקשת</w:t>
            </w:r>
          </w:p>
        </w:tc>
        <w:tc>
          <w:tcPr>
            <w:tcW w:w="5571" w:type="dxa"/>
            <w:gridSpan w:val="2"/>
          </w:tcPr>
          <w:p w:rsidR="00805111" w:rsidRPr="00805111" w:rsidRDefault="00805111" w:rsidP="00805111">
            <w:pPr>
              <w:ind w:left="720"/>
              <w:contextualSpacing/>
              <w:rPr>
                <w:rFonts w:ascii="Arial" w:hAnsi="Arial" w:cs="David"/>
                <w:b/>
                <w:bCs/>
                <w:sz w:val="26"/>
                <w:szCs w:val="26"/>
              </w:rPr>
            </w:pPr>
          </w:p>
          <w:p w:rsidR="00805111" w:rsidRPr="00805111" w:rsidRDefault="005103A8" w:rsidP="00805111">
            <w:pPr>
              <w:ind w:left="720"/>
              <w:contextualSpacing/>
              <w:rPr>
                <w:rFonts w:ascii="Arial" w:hAnsi="Arial" w:cs="David"/>
                <w:b/>
                <w:bCs/>
                <w:sz w:val="26"/>
                <w:szCs w:val="26"/>
                <w:rtl/>
              </w:rPr>
            </w:pPr>
            <w:r>
              <w:rPr>
                <w:rFonts w:ascii="Arial" w:hAnsi="Arial" w:cs="David" w:hint="cs"/>
                <w:b/>
                <w:bCs/>
                <w:sz w:val="26"/>
                <w:szCs w:val="26"/>
                <w:rtl/>
              </w:rPr>
              <w:t>פלונית</w:t>
            </w:r>
          </w:p>
          <w:p w:rsidR="00805111" w:rsidRPr="00805111" w:rsidRDefault="00805111" w:rsidP="00805111">
            <w:pPr>
              <w:ind w:left="720"/>
              <w:contextualSpacing/>
              <w:rPr>
                <w:rFonts w:cs="David"/>
                <w:b/>
                <w:bCs/>
                <w:sz w:val="26"/>
                <w:szCs w:val="26"/>
              </w:rPr>
            </w:pPr>
            <w:r w:rsidRPr="00805111">
              <w:rPr>
                <w:rFonts w:cs="David"/>
                <w:b/>
                <w:bCs/>
                <w:sz w:val="26"/>
                <w:szCs w:val="26"/>
                <w:rtl/>
              </w:rPr>
              <w:t>ע"י ב"כ עו"ד אילן בומבך ועו"ד שלמה שובי</w:t>
            </w:r>
          </w:p>
        </w:tc>
      </w:tr>
      <w:tr w:rsidR="00805111" w:rsidRPr="00805111" w:rsidTr="00027473">
        <w:trPr>
          <w:jc w:val="center"/>
        </w:trPr>
        <w:tc>
          <w:tcPr>
            <w:tcW w:w="8820" w:type="dxa"/>
            <w:gridSpan w:val="4"/>
          </w:tcPr>
          <w:p w:rsidR="00805111" w:rsidRPr="00805111" w:rsidRDefault="00805111" w:rsidP="00805111">
            <w:pPr>
              <w:ind w:left="720"/>
              <w:contextualSpacing/>
              <w:rPr>
                <w:rFonts w:ascii="Arial" w:hAnsi="Arial" w:cs="David"/>
                <w:b/>
                <w:bCs/>
                <w:sz w:val="26"/>
                <w:szCs w:val="26"/>
                <w:rtl/>
              </w:rPr>
            </w:pPr>
          </w:p>
          <w:p w:rsidR="00805111" w:rsidRPr="00805111" w:rsidRDefault="00805111" w:rsidP="00805111">
            <w:pPr>
              <w:ind w:left="720"/>
              <w:contextualSpacing/>
              <w:jc w:val="center"/>
              <w:rPr>
                <w:rFonts w:ascii="Arial" w:hAnsi="Arial" w:cs="David"/>
                <w:b/>
                <w:bCs/>
                <w:sz w:val="26"/>
                <w:szCs w:val="26"/>
                <w:rtl/>
              </w:rPr>
            </w:pPr>
            <w:r w:rsidRPr="00805111">
              <w:rPr>
                <w:rFonts w:ascii="Arial" w:hAnsi="Arial" w:cs="David"/>
                <w:b/>
                <w:bCs/>
                <w:sz w:val="26"/>
                <w:szCs w:val="26"/>
                <w:rtl/>
              </w:rPr>
              <w:t>נגד</w:t>
            </w:r>
          </w:p>
          <w:p w:rsidR="00805111" w:rsidRPr="00805111" w:rsidRDefault="00805111" w:rsidP="00805111">
            <w:pPr>
              <w:ind w:left="720"/>
              <w:contextualSpacing/>
              <w:rPr>
                <w:rFonts w:ascii="Arial" w:hAnsi="Arial" w:cs="David"/>
                <w:b/>
                <w:bCs/>
                <w:sz w:val="26"/>
                <w:szCs w:val="26"/>
              </w:rPr>
            </w:pPr>
          </w:p>
        </w:tc>
      </w:tr>
      <w:tr w:rsidR="00805111" w:rsidRPr="00805111" w:rsidTr="00027473">
        <w:trPr>
          <w:jc w:val="center"/>
        </w:trPr>
        <w:tc>
          <w:tcPr>
            <w:tcW w:w="3249" w:type="dxa"/>
            <w:gridSpan w:val="2"/>
          </w:tcPr>
          <w:p w:rsidR="00805111" w:rsidRPr="00805111" w:rsidRDefault="00805111" w:rsidP="00805111">
            <w:pPr>
              <w:ind w:left="720"/>
              <w:contextualSpacing/>
              <w:rPr>
                <w:rFonts w:ascii="Arial" w:hAnsi="Arial" w:cs="David"/>
                <w:b/>
                <w:bCs/>
                <w:sz w:val="26"/>
                <w:szCs w:val="26"/>
                <w:rtl/>
              </w:rPr>
            </w:pPr>
          </w:p>
          <w:p w:rsidR="00805111" w:rsidRPr="00805111" w:rsidRDefault="00805111" w:rsidP="00805111">
            <w:pPr>
              <w:contextualSpacing/>
              <w:rPr>
                <w:rFonts w:ascii="Arial" w:hAnsi="Arial" w:cs="David"/>
                <w:b/>
                <w:bCs/>
                <w:sz w:val="26"/>
                <w:szCs w:val="26"/>
              </w:rPr>
            </w:pPr>
            <w:r w:rsidRPr="00805111">
              <w:rPr>
                <w:rFonts w:ascii="Arial" w:hAnsi="Arial" w:cs="David"/>
                <w:b/>
                <w:bCs/>
                <w:sz w:val="26"/>
                <w:szCs w:val="26"/>
                <w:rtl/>
              </w:rPr>
              <w:t>המשיב</w:t>
            </w:r>
          </w:p>
        </w:tc>
        <w:tc>
          <w:tcPr>
            <w:tcW w:w="5571" w:type="dxa"/>
            <w:gridSpan w:val="2"/>
          </w:tcPr>
          <w:p w:rsidR="00805111" w:rsidRPr="00805111" w:rsidRDefault="00805111" w:rsidP="00805111">
            <w:pPr>
              <w:ind w:left="720"/>
              <w:contextualSpacing/>
              <w:rPr>
                <w:rFonts w:ascii="Arial" w:hAnsi="Arial" w:cs="David"/>
                <w:b/>
                <w:bCs/>
                <w:sz w:val="26"/>
                <w:szCs w:val="26"/>
                <w:rtl/>
              </w:rPr>
            </w:pPr>
          </w:p>
          <w:p w:rsidR="005103A8" w:rsidRDefault="005103A8" w:rsidP="00805111">
            <w:pPr>
              <w:ind w:left="720"/>
              <w:contextualSpacing/>
              <w:rPr>
                <w:rFonts w:cs="David"/>
                <w:b/>
                <w:bCs/>
                <w:sz w:val="26"/>
                <w:szCs w:val="26"/>
                <w:rtl/>
              </w:rPr>
            </w:pPr>
            <w:r>
              <w:rPr>
                <w:rFonts w:cs="David" w:hint="cs"/>
                <w:b/>
                <w:bCs/>
                <w:sz w:val="26"/>
                <w:szCs w:val="26"/>
                <w:rtl/>
              </w:rPr>
              <w:t>אלמוני</w:t>
            </w:r>
          </w:p>
          <w:p w:rsidR="00805111" w:rsidRPr="00805111" w:rsidRDefault="00805111" w:rsidP="00805111">
            <w:pPr>
              <w:ind w:left="720"/>
              <w:contextualSpacing/>
              <w:rPr>
                <w:rFonts w:cs="David"/>
                <w:b/>
                <w:bCs/>
                <w:sz w:val="26"/>
                <w:szCs w:val="26"/>
                <w:rtl/>
              </w:rPr>
            </w:pPr>
            <w:r w:rsidRPr="00805111">
              <w:rPr>
                <w:rFonts w:cs="David"/>
                <w:b/>
                <w:bCs/>
                <w:sz w:val="26"/>
                <w:szCs w:val="26"/>
                <w:rtl/>
              </w:rPr>
              <w:t>ע"י ב"כ עו"ד דנה בר-נר (בן יאיר)</w:t>
            </w:r>
          </w:p>
        </w:tc>
      </w:tr>
    </w:tbl>
    <w:p w:rsidR="00805111" w:rsidRPr="00805111" w:rsidRDefault="00805111" w:rsidP="00805111">
      <w:pPr>
        <w:spacing w:after="0" w:line="240" w:lineRule="auto"/>
        <w:rPr>
          <w:rFonts w:ascii="Times New Roman" w:eastAsia="Times New Roman" w:hAnsi="Times New Roman" w:cs="David"/>
          <w:noProof/>
          <w:sz w:val="24"/>
          <w:szCs w:val="24"/>
        </w:rPr>
      </w:pPr>
    </w:p>
    <w:p w:rsidR="00805111" w:rsidRPr="00805111" w:rsidRDefault="00805111" w:rsidP="00805111">
      <w:pPr>
        <w:spacing w:after="0" w:line="240" w:lineRule="auto"/>
        <w:rPr>
          <w:rFonts w:ascii="Times New Roman" w:eastAsia="Times New Roman" w:hAnsi="Times New Roman" w:cs="David"/>
          <w:noProof/>
          <w:sz w:val="24"/>
          <w:szCs w:val="24"/>
        </w:rPr>
      </w:pPr>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805111" w:rsidRPr="00805111" w:rsidTr="00027473">
        <w:trPr>
          <w:jc w:val="center"/>
        </w:trPr>
        <w:tc>
          <w:tcPr>
            <w:tcW w:w="8820" w:type="dxa"/>
          </w:tcPr>
          <w:p w:rsidR="00805111" w:rsidRPr="00805111" w:rsidRDefault="00805111" w:rsidP="00805111">
            <w:pPr>
              <w:bidi w:val="0"/>
              <w:ind w:left="720"/>
              <w:contextualSpacing/>
              <w:jc w:val="center"/>
              <w:rPr>
                <w:rFonts w:ascii="Arial" w:hAnsi="Arial" w:cs="David"/>
                <w:b/>
                <w:bCs/>
                <w:sz w:val="28"/>
                <w:szCs w:val="28"/>
                <w:u w:val="single"/>
              </w:rPr>
            </w:pPr>
            <w:r w:rsidRPr="00805111">
              <w:rPr>
                <w:rFonts w:ascii="Arial" w:hAnsi="Arial" w:cs="David"/>
                <w:b/>
                <w:bCs/>
                <w:sz w:val="28"/>
                <w:szCs w:val="28"/>
                <w:u w:val="single"/>
                <w:rtl/>
              </w:rPr>
              <w:t>החלטה</w:t>
            </w:r>
          </w:p>
        </w:tc>
      </w:tr>
    </w:tbl>
    <w:p w:rsidR="00805111" w:rsidRPr="00805111" w:rsidRDefault="00805111" w:rsidP="00805111">
      <w:pPr>
        <w:spacing w:after="0" w:line="360" w:lineRule="auto"/>
        <w:jc w:val="both"/>
        <w:rPr>
          <w:rFonts w:ascii="Arial" w:eastAsia="Times New Roman" w:hAnsi="Arial" w:cs="David"/>
          <w:sz w:val="24"/>
          <w:szCs w:val="24"/>
          <w:rtl/>
        </w:rPr>
      </w:pPr>
    </w:p>
    <w:p w:rsidR="00805111" w:rsidRPr="00805111" w:rsidRDefault="00805111" w:rsidP="00805111">
      <w:pPr>
        <w:numPr>
          <w:ilvl w:val="0"/>
          <w:numId w:val="1"/>
        </w:numPr>
        <w:spacing w:after="0" w:line="360" w:lineRule="auto"/>
        <w:ind w:left="567" w:hanging="567"/>
        <w:contextualSpacing/>
        <w:jc w:val="both"/>
        <w:rPr>
          <w:rFonts w:ascii="Arial" w:eastAsia="Times New Roman" w:hAnsi="Arial" w:cs="David"/>
          <w:sz w:val="24"/>
          <w:szCs w:val="24"/>
        </w:rPr>
      </w:pPr>
      <w:r w:rsidRPr="00805111">
        <w:rPr>
          <w:rFonts w:ascii="Arial" w:eastAsia="Times New Roman" w:hAnsi="Arial" w:cs="David"/>
          <w:sz w:val="24"/>
          <w:szCs w:val="24"/>
          <w:rtl/>
        </w:rPr>
        <w:t>ביום 9.9.15 הוגשה "בקשה דחופה למתן צו עשה ולא תעשה זמני" על ידי המבקשת במסגרתה התבקש:</w:t>
      </w:r>
    </w:p>
    <w:p w:rsidR="00805111" w:rsidRPr="00805111" w:rsidRDefault="00805111" w:rsidP="00805111">
      <w:pPr>
        <w:spacing w:after="0" w:line="360" w:lineRule="auto"/>
        <w:ind w:left="850" w:right="1134"/>
        <w:contextualSpacing/>
        <w:jc w:val="both"/>
        <w:rPr>
          <w:rFonts w:ascii="Arial" w:eastAsia="Times New Roman" w:hAnsi="Arial" w:cs="David"/>
          <w:sz w:val="24"/>
          <w:szCs w:val="24"/>
          <w:rtl/>
        </w:rPr>
      </w:pPr>
      <w:r w:rsidRPr="00805111">
        <w:rPr>
          <w:rFonts w:ascii="Arial" w:eastAsia="Times New Roman" w:hAnsi="Arial" w:cs="David"/>
          <w:sz w:val="24"/>
          <w:szCs w:val="24"/>
          <w:rtl/>
        </w:rPr>
        <w:t>"</w:t>
      </w:r>
      <w:r w:rsidRPr="00805111">
        <w:rPr>
          <w:rFonts w:ascii="Arial" w:eastAsia="Times New Roman" w:hAnsi="Arial" w:cs="David"/>
          <w:b/>
          <w:bCs/>
          <w:sz w:val="24"/>
          <w:szCs w:val="24"/>
          <w:rtl/>
        </w:rPr>
        <w:t>להורות בזה על מתן צו עשה וצו לא תעשה זמני, האוסר על המשיב או מי מטעמו לפרסם כל תמונה ו/או מסמך הנוגעים לילדות או למבקשת בקשר עם ההליך המשפטי המתנהל בין הצדדים ו/או בקשר עם מרכז הקשר ו/או בקשר עם רשויות הרווחה, בין אם פורסמו בעבר או שטרם פורסמו, ומחייבו להסיר כל פרסום שכזה</w:t>
      </w:r>
      <w:r w:rsidRPr="00805111">
        <w:rPr>
          <w:rFonts w:ascii="Arial" w:eastAsia="Times New Roman" w:hAnsi="Arial" w:cs="David"/>
          <w:sz w:val="24"/>
          <w:szCs w:val="24"/>
          <w:rtl/>
        </w:rPr>
        <w:t>".</w:t>
      </w:r>
    </w:p>
    <w:p w:rsidR="00805111" w:rsidRPr="00805111" w:rsidRDefault="00805111" w:rsidP="00805111">
      <w:pPr>
        <w:spacing w:after="0" w:line="360" w:lineRule="auto"/>
        <w:ind w:right="1134"/>
        <w:jc w:val="both"/>
        <w:rPr>
          <w:rFonts w:ascii="Arial" w:eastAsia="Times New Roman" w:hAnsi="Arial" w:cs="David"/>
          <w:sz w:val="24"/>
          <w:szCs w:val="24"/>
          <w:rtl/>
        </w:rPr>
      </w:pPr>
      <w:r w:rsidRPr="00805111">
        <w:rPr>
          <w:rFonts w:ascii="Arial" w:eastAsia="Times New Roman" w:hAnsi="Arial" w:cs="David"/>
          <w:sz w:val="24"/>
          <w:szCs w:val="24"/>
          <w:rtl/>
        </w:rPr>
        <w:t xml:space="preserve">  </w:t>
      </w:r>
    </w:p>
    <w:p w:rsidR="00805111" w:rsidRPr="00805111" w:rsidRDefault="00805111" w:rsidP="00805111">
      <w:pPr>
        <w:numPr>
          <w:ilvl w:val="0"/>
          <w:numId w:val="1"/>
        </w:numPr>
        <w:spacing w:after="0" w:line="360" w:lineRule="auto"/>
        <w:ind w:left="567" w:hanging="567"/>
        <w:contextualSpacing/>
        <w:jc w:val="both"/>
        <w:rPr>
          <w:rFonts w:ascii="Arial" w:eastAsia="Times New Roman" w:hAnsi="Arial" w:cs="David"/>
          <w:sz w:val="24"/>
          <w:szCs w:val="24"/>
        </w:rPr>
      </w:pPr>
      <w:r w:rsidRPr="00805111">
        <w:rPr>
          <w:rFonts w:ascii="Arial" w:eastAsia="Times New Roman" w:hAnsi="Arial" w:cs="David"/>
          <w:sz w:val="24"/>
          <w:szCs w:val="24"/>
          <w:rtl/>
        </w:rPr>
        <w:t>המבקשת צירפה לבקשה עמודי נספחים רבים מאוד שמהווים פרסומים שבוצעו לטענתה על ידי המשיב.</w:t>
      </w:r>
    </w:p>
    <w:p w:rsidR="00805111" w:rsidRPr="00805111" w:rsidRDefault="00805111" w:rsidP="00805111">
      <w:pPr>
        <w:spacing w:after="0" w:line="360" w:lineRule="auto"/>
        <w:ind w:left="567"/>
        <w:contextualSpacing/>
        <w:jc w:val="both"/>
        <w:rPr>
          <w:rFonts w:ascii="Arial" w:eastAsia="Times New Roman" w:hAnsi="Arial" w:cs="David"/>
          <w:sz w:val="24"/>
          <w:szCs w:val="24"/>
        </w:rPr>
      </w:pPr>
    </w:p>
    <w:p w:rsidR="00805111" w:rsidRPr="00805111" w:rsidRDefault="00805111" w:rsidP="00805111">
      <w:pPr>
        <w:numPr>
          <w:ilvl w:val="0"/>
          <w:numId w:val="1"/>
        </w:numPr>
        <w:spacing w:after="0" w:line="360" w:lineRule="auto"/>
        <w:ind w:left="567" w:hanging="567"/>
        <w:contextualSpacing/>
        <w:jc w:val="both"/>
        <w:rPr>
          <w:rFonts w:ascii="Arial" w:eastAsia="Times New Roman" w:hAnsi="Arial" w:cs="David"/>
          <w:sz w:val="24"/>
          <w:szCs w:val="24"/>
        </w:rPr>
      </w:pPr>
      <w:r w:rsidRPr="00805111">
        <w:rPr>
          <w:rFonts w:ascii="Arial" w:eastAsia="Times New Roman" w:hAnsi="Arial" w:cs="David"/>
          <w:sz w:val="24"/>
          <w:szCs w:val="24"/>
          <w:rtl/>
        </w:rPr>
        <w:t xml:space="preserve">באותו היום ולאחר דיון שהיה בפניי בו </w:t>
      </w:r>
      <w:r w:rsidRPr="00805111">
        <w:rPr>
          <w:rFonts w:ascii="Arial" w:eastAsia="Times New Roman" w:hAnsi="Arial" w:cs="Miriam"/>
          <w:sz w:val="24"/>
          <w:szCs w:val="24"/>
          <w:rtl/>
        </w:rPr>
        <w:t>הסכים</w:t>
      </w:r>
      <w:r w:rsidRPr="00805111">
        <w:rPr>
          <w:rFonts w:ascii="Arial" w:eastAsia="Times New Roman" w:hAnsi="Arial" w:cs="David"/>
          <w:sz w:val="24"/>
          <w:szCs w:val="24"/>
          <w:rtl/>
        </w:rPr>
        <w:t xml:space="preserve"> </w:t>
      </w:r>
      <w:r w:rsidRPr="00805111">
        <w:rPr>
          <w:rFonts w:ascii="Arial" w:eastAsia="Times New Roman" w:hAnsi="Arial" w:cs="Miriam"/>
          <w:sz w:val="24"/>
          <w:szCs w:val="24"/>
          <w:rtl/>
        </w:rPr>
        <w:t>המשיב</w:t>
      </w:r>
      <w:r w:rsidRPr="00805111">
        <w:rPr>
          <w:rFonts w:ascii="Arial" w:eastAsia="Times New Roman" w:hAnsi="Arial" w:cs="David"/>
          <w:sz w:val="24"/>
          <w:szCs w:val="24"/>
          <w:rtl/>
        </w:rPr>
        <w:t xml:space="preserve"> למתן הצו, ניתנה החלטת בית המשפט לפיה:</w:t>
      </w:r>
    </w:p>
    <w:p w:rsidR="00805111" w:rsidRPr="00805111" w:rsidRDefault="00805111" w:rsidP="00805111">
      <w:pPr>
        <w:spacing w:after="0" w:line="360" w:lineRule="auto"/>
        <w:ind w:left="850" w:right="1134"/>
        <w:contextualSpacing/>
        <w:jc w:val="both"/>
        <w:rPr>
          <w:rFonts w:ascii="Arial" w:eastAsia="Times New Roman" w:hAnsi="Arial" w:cs="David"/>
          <w:b/>
          <w:bCs/>
          <w:sz w:val="24"/>
          <w:szCs w:val="24"/>
          <w:rtl/>
        </w:rPr>
      </w:pPr>
      <w:r w:rsidRPr="00805111">
        <w:rPr>
          <w:rFonts w:ascii="Arial" w:eastAsia="Times New Roman" w:hAnsi="Arial" w:cs="David"/>
          <w:sz w:val="24"/>
          <w:szCs w:val="24"/>
          <w:rtl/>
        </w:rPr>
        <w:t>"</w:t>
      </w:r>
      <w:r w:rsidRPr="00805111">
        <w:rPr>
          <w:rFonts w:ascii="Arial" w:eastAsia="Times New Roman" w:hAnsi="Arial" w:cs="David"/>
          <w:b/>
          <w:bCs/>
          <w:sz w:val="24"/>
          <w:szCs w:val="24"/>
          <w:rtl/>
        </w:rPr>
        <w:t xml:space="preserve">בהמשך לדיון שהיה בפניי – לתגובת ב"כ האב בתוך 10 ימים. ימי פגרה במניין הימים. </w:t>
      </w:r>
    </w:p>
    <w:p w:rsidR="00805111" w:rsidRPr="00805111" w:rsidRDefault="00805111" w:rsidP="00805111">
      <w:pPr>
        <w:spacing w:after="0" w:line="360" w:lineRule="auto"/>
        <w:ind w:left="850" w:right="1134"/>
        <w:contextualSpacing/>
        <w:jc w:val="both"/>
        <w:rPr>
          <w:rFonts w:ascii="Arial" w:eastAsia="Times New Roman" w:hAnsi="Arial" w:cs="David"/>
          <w:sz w:val="24"/>
          <w:szCs w:val="24"/>
        </w:rPr>
      </w:pPr>
      <w:r w:rsidRPr="00805111">
        <w:rPr>
          <w:rFonts w:ascii="Arial" w:eastAsia="Times New Roman" w:hAnsi="Arial" w:cs="David"/>
          <w:b/>
          <w:bCs/>
          <w:sz w:val="24"/>
          <w:szCs w:val="24"/>
          <w:rtl/>
        </w:rPr>
        <w:t>ניתן צו ארעי גם לאור האמור בדיון כי לא יפורסם דבר על התיק בכל אמצעי תקשורת שהם לרבות הרשתות החברתיות</w:t>
      </w:r>
      <w:r w:rsidRPr="00805111">
        <w:rPr>
          <w:rFonts w:ascii="Arial" w:eastAsia="Times New Roman" w:hAnsi="Arial" w:cs="David"/>
          <w:sz w:val="24"/>
          <w:szCs w:val="24"/>
          <w:rtl/>
        </w:rPr>
        <w:t xml:space="preserve">". </w:t>
      </w:r>
    </w:p>
    <w:p w:rsidR="00805111" w:rsidRPr="00805111" w:rsidRDefault="00805111" w:rsidP="00805111">
      <w:pPr>
        <w:spacing w:after="0" w:line="360" w:lineRule="auto"/>
        <w:ind w:left="567"/>
        <w:contextualSpacing/>
        <w:jc w:val="both"/>
        <w:rPr>
          <w:rFonts w:ascii="Arial" w:eastAsia="Times New Roman" w:hAnsi="Arial" w:cs="David"/>
          <w:sz w:val="24"/>
          <w:szCs w:val="24"/>
          <w:rtl/>
        </w:rPr>
      </w:pPr>
    </w:p>
    <w:p w:rsidR="00805111" w:rsidRPr="00805111" w:rsidRDefault="00805111" w:rsidP="00805111">
      <w:pPr>
        <w:spacing w:after="0" w:line="360" w:lineRule="auto"/>
        <w:ind w:left="567"/>
        <w:contextualSpacing/>
        <w:jc w:val="both"/>
        <w:rPr>
          <w:rFonts w:ascii="Arial" w:eastAsia="Times New Roman" w:hAnsi="Arial" w:cs="David"/>
          <w:sz w:val="24"/>
          <w:szCs w:val="24"/>
          <w:rtl/>
        </w:rPr>
      </w:pPr>
    </w:p>
    <w:p w:rsidR="00805111" w:rsidRPr="00805111" w:rsidRDefault="00805111" w:rsidP="00805111">
      <w:pPr>
        <w:spacing w:after="0" w:line="360" w:lineRule="auto"/>
        <w:ind w:left="567"/>
        <w:contextualSpacing/>
        <w:jc w:val="both"/>
        <w:rPr>
          <w:rFonts w:ascii="Arial" w:eastAsia="Times New Roman" w:hAnsi="Arial" w:cs="David"/>
          <w:sz w:val="24"/>
          <w:szCs w:val="24"/>
        </w:rPr>
      </w:pPr>
    </w:p>
    <w:p w:rsidR="00805111" w:rsidRPr="00805111" w:rsidRDefault="00805111" w:rsidP="00805111">
      <w:pPr>
        <w:numPr>
          <w:ilvl w:val="0"/>
          <w:numId w:val="1"/>
        </w:numPr>
        <w:spacing w:after="0" w:line="360" w:lineRule="auto"/>
        <w:ind w:left="567" w:hanging="567"/>
        <w:contextualSpacing/>
        <w:jc w:val="both"/>
        <w:rPr>
          <w:rFonts w:ascii="Arial" w:eastAsia="Times New Roman" w:hAnsi="Arial" w:cs="David"/>
          <w:sz w:val="24"/>
          <w:szCs w:val="24"/>
        </w:rPr>
      </w:pPr>
      <w:r w:rsidRPr="00805111">
        <w:rPr>
          <w:rFonts w:ascii="Arial" w:eastAsia="Times New Roman" w:hAnsi="Arial" w:cs="David"/>
          <w:sz w:val="24"/>
          <w:szCs w:val="24"/>
          <w:rtl/>
        </w:rPr>
        <w:lastRenderedPageBreak/>
        <w:t>ביום 10.9.15 הוגשה בקשה נוספת על ידי המבקשת "בקשה דחופה לפי פקודת בזיון בית המשפט" (תמ"ש 30368-09-15), לזאת לאחר שלטענתה המשיב הפר את ההחלטה שניתנה יום קודם לכן. ביום 9.11.15 ניתן פסק דין במסגרתו התקבלה הבקשה לפי פקודת בזיון בית המשפט, בנימוקי פסק הדין שם.</w:t>
      </w:r>
    </w:p>
    <w:p w:rsidR="00805111" w:rsidRPr="00805111" w:rsidRDefault="00805111" w:rsidP="00805111">
      <w:pPr>
        <w:spacing w:after="0" w:line="360" w:lineRule="auto"/>
        <w:ind w:left="567"/>
        <w:contextualSpacing/>
        <w:jc w:val="both"/>
        <w:rPr>
          <w:rFonts w:ascii="Arial" w:eastAsia="Times New Roman" w:hAnsi="Arial" w:cs="David"/>
          <w:sz w:val="24"/>
          <w:szCs w:val="24"/>
          <w:highlight w:val="yellow"/>
        </w:rPr>
      </w:pPr>
    </w:p>
    <w:p w:rsidR="00805111" w:rsidRPr="00805111" w:rsidRDefault="00805111" w:rsidP="00805111">
      <w:pPr>
        <w:numPr>
          <w:ilvl w:val="0"/>
          <w:numId w:val="1"/>
        </w:numPr>
        <w:spacing w:after="0" w:line="360" w:lineRule="auto"/>
        <w:ind w:left="567" w:hanging="567"/>
        <w:contextualSpacing/>
        <w:jc w:val="both"/>
        <w:rPr>
          <w:rFonts w:ascii="Arial" w:eastAsia="Times New Roman" w:hAnsi="Arial" w:cs="David"/>
          <w:sz w:val="24"/>
          <w:szCs w:val="24"/>
        </w:rPr>
      </w:pPr>
      <w:r w:rsidRPr="00805111">
        <w:rPr>
          <w:rFonts w:ascii="Arial" w:eastAsia="Times New Roman" w:hAnsi="Arial" w:cs="David"/>
          <w:sz w:val="24"/>
          <w:szCs w:val="24"/>
          <w:rtl/>
        </w:rPr>
        <w:t>יש לציין כי הבקשה לפי פקודת בזיון בית המשפט והבקשה דנן דומות מהותית ולמעשה הבקשות שתיהן מבקשות להפסיק את הפרסומים הנעשים על ידי האב הנוגעים להליך המשפטי בין הצדדים וכן לענייני הקטינות אשר נדונים בפני בית המשפט.</w:t>
      </w:r>
    </w:p>
    <w:p w:rsidR="00805111" w:rsidRPr="00805111" w:rsidRDefault="00805111" w:rsidP="00805111">
      <w:pPr>
        <w:spacing w:after="0" w:line="360" w:lineRule="auto"/>
        <w:ind w:left="567"/>
        <w:contextualSpacing/>
        <w:jc w:val="both"/>
        <w:rPr>
          <w:rFonts w:ascii="Arial" w:eastAsia="Times New Roman" w:hAnsi="Arial" w:cs="David"/>
          <w:sz w:val="24"/>
          <w:szCs w:val="24"/>
          <w:highlight w:val="yellow"/>
        </w:rPr>
      </w:pPr>
      <w:r w:rsidRPr="00805111">
        <w:rPr>
          <w:rFonts w:ascii="Arial" w:eastAsia="Times New Roman" w:hAnsi="Arial" w:cs="David"/>
          <w:sz w:val="24"/>
          <w:szCs w:val="24"/>
          <w:highlight w:val="yellow"/>
          <w:rtl/>
        </w:rPr>
        <w:t xml:space="preserve"> </w:t>
      </w:r>
    </w:p>
    <w:p w:rsidR="00805111" w:rsidRPr="00805111" w:rsidRDefault="00805111" w:rsidP="00805111">
      <w:pPr>
        <w:numPr>
          <w:ilvl w:val="0"/>
          <w:numId w:val="1"/>
        </w:numPr>
        <w:spacing w:after="0" w:line="360" w:lineRule="auto"/>
        <w:ind w:left="567" w:hanging="567"/>
        <w:contextualSpacing/>
        <w:jc w:val="both"/>
        <w:rPr>
          <w:rFonts w:ascii="Arial" w:eastAsia="Times New Roman" w:hAnsi="Arial" w:cs="David"/>
          <w:sz w:val="24"/>
          <w:szCs w:val="24"/>
        </w:rPr>
      </w:pPr>
      <w:r w:rsidRPr="00805111">
        <w:rPr>
          <w:rFonts w:ascii="Arial" w:eastAsia="Times New Roman" w:hAnsi="Arial" w:cs="David"/>
          <w:sz w:val="24"/>
          <w:szCs w:val="24"/>
          <w:rtl/>
        </w:rPr>
        <w:t>ביום 7.10.15 הוגשה תגובת המשיב לפיה הוא מבקש לדחות את הבקשה על הסף. תגובת המשיב, רובה ככולה, זהה לתגובתו בבקשה לפי פקודת בזיון בית המשפט. המשיב אינו מכחיש את הפרסומים שנעשו על ידו וטוען כי זכותו לצאת למאבק ציבורי ופרסומיו בגין מאבק זה אינם נוגעים להליכים המשפטיים שבין הצדדים. עוד טוען המשיב כי פירסם אך ורק חומר שהוכן על ידי שירותי הרווחה (ראו סעיף 19 לתגובתו).</w:t>
      </w:r>
    </w:p>
    <w:p w:rsidR="00805111" w:rsidRPr="00805111" w:rsidRDefault="00805111" w:rsidP="00805111">
      <w:pPr>
        <w:spacing w:after="0" w:line="360" w:lineRule="auto"/>
        <w:ind w:left="567"/>
        <w:contextualSpacing/>
        <w:jc w:val="both"/>
        <w:rPr>
          <w:rFonts w:ascii="Arial" w:eastAsia="Times New Roman" w:hAnsi="Arial" w:cs="David"/>
          <w:sz w:val="24"/>
          <w:szCs w:val="24"/>
        </w:rPr>
      </w:pPr>
    </w:p>
    <w:p w:rsidR="00805111" w:rsidRPr="00805111" w:rsidRDefault="00805111" w:rsidP="00805111">
      <w:pPr>
        <w:numPr>
          <w:ilvl w:val="0"/>
          <w:numId w:val="1"/>
        </w:numPr>
        <w:spacing w:after="0" w:line="360" w:lineRule="auto"/>
        <w:ind w:left="567" w:hanging="567"/>
        <w:contextualSpacing/>
        <w:jc w:val="both"/>
        <w:rPr>
          <w:rFonts w:ascii="Arial" w:eastAsia="Times New Roman" w:hAnsi="Arial" w:cs="David"/>
          <w:sz w:val="24"/>
          <w:szCs w:val="24"/>
        </w:rPr>
      </w:pPr>
      <w:r w:rsidRPr="00805111">
        <w:rPr>
          <w:rFonts w:ascii="Arial" w:eastAsia="Times New Roman" w:hAnsi="Arial" w:cs="David"/>
          <w:sz w:val="24"/>
          <w:szCs w:val="24"/>
          <w:rtl/>
        </w:rPr>
        <w:t>המשיב טוען כי זכותו לשפוך את אשר על לבו על גבי דף הפייסבוק שלו. המשיב טוען כי אין כל רע בכך שמפרסם תמונות של בנותיו הקטינות בסיטואציות שונות בהן שוהה עימן (בין אם בחוף הים ובין אם במרכז הקשר) ובטח שלא מדובר בהפרת פרטיות הקטינות כפי שטוענת המבקשת. המשיב טוען כי כל פרסומיו הנוגעים למבקשת הינם אמת לאמיתה ועל כן אין בטענותיה בדבר לשון הרע דבר וחצי דבר.</w:t>
      </w:r>
    </w:p>
    <w:p w:rsidR="00805111" w:rsidRPr="00805111" w:rsidRDefault="00805111" w:rsidP="00805111">
      <w:pPr>
        <w:spacing w:after="0" w:line="360" w:lineRule="auto"/>
        <w:ind w:left="567"/>
        <w:contextualSpacing/>
        <w:jc w:val="both"/>
        <w:rPr>
          <w:rFonts w:ascii="Arial" w:eastAsia="Times New Roman" w:hAnsi="Arial" w:cs="David"/>
          <w:sz w:val="24"/>
          <w:szCs w:val="24"/>
        </w:rPr>
      </w:pPr>
    </w:p>
    <w:p w:rsidR="00805111" w:rsidRPr="00805111" w:rsidRDefault="00805111" w:rsidP="00805111">
      <w:pPr>
        <w:numPr>
          <w:ilvl w:val="0"/>
          <w:numId w:val="1"/>
        </w:numPr>
        <w:spacing w:after="0" w:line="360" w:lineRule="auto"/>
        <w:ind w:left="567" w:hanging="567"/>
        <w:contextualSpacing/>
        <w:jc w:val="both"/>
        <w:rPr>
          <w:rFonts w:ascii="Arial" w:eastAsia="Times New Roman" w:hAnsi="Arial" w:cs="David"/>
          <w:sz w:val="24"/>
          <w:szCs w:val="24"/>
        </w:rPr>
      </w:pPr>
      <w:r w:rsidRPr="00805111">
        <w:rPr>
          <w:rFonts w:ascii="Arial" w:eastAsia="Times New Roman" w:hAnsi="Arial" w:cs="David"/>
          <w:sz w:val="24"/>
          <w:szCs w:val="24"/>
          <w:rtl/>
        </w:rPr>
        <w:t>בדיון שנערך בפני ביום 9.9.15 ציין ב"כ המשיב, עו"ד מלכא, את הדברים הבאים בתגובה לטענות האם כי לגבי צילום הקטינות ופרסום מידע מתוך ההליכים המשפטיים בפייסבוק:</w:t>
      </w:r>
    </w:p>
    <w:p w:rsidR="00805111" w:rsidRPr="00805111" w:rsidRDefault="00805111" w:rsidP="00805111">
      <w:pPr>
        <w:spacing w:after="0" w:line="360" w:lineRule="auto"/>
        <w:ind w:left="850" w:right="1134"/>
        <w:contextualSpacing/>
        <w:jc w:val="both"/>
        <w:rPr>
          <w:rFonts w:ascii="Arial" w:eastAsia="Times New Roman" w:hAnsi="Arial" w:cs="David"/>
          <w:b/>
          <w:bCs/>
          <w:sz w:val="24"/>
          <w:szCs w:val="24"/>
          <w:rtl/>
        </w:rPr>
      </w:pPr>
      <w:r w:rsidRPr="00805111">
        <w:rPr>
          <w:rFonts w:ascii="Arial" w:eastAsia="Times New Roman" w:hAnsi="Arial" w:cs="David"/>
          <w:sz w:val="24"/>
          <w:szCs w:val="24"/>
          <w:rtl/>
        </w:rPr>
        <w:t>"</w:t>
      </w:r>
      <w:r w:rsidRPr="00805111">
        <w:rPr>
          <w:rFonts w:ascii="Arial" w:eastAsia="Times New Roman" w:hAnsi="Arial" w:cs="David"/>
          <w:b/>
          <w:bCs/>
          <w:sz w:val="24"/>
          <w:szCs w:val="24"/>
          <w:rtl/>
        </w:rPr>
        <w:t>את ההסכמה שלי אנסח כך:</w:t>
      </w:r>
    </w:p>
    <w:p w:rsidR="00805111" w:rsidRPr="00805111" w:rsidRDefault="00805111" w:rsidP="00805111">
      <w:pPr>
        <w:spacing w:after="0" w:line="360" w:lineRule="auto"/>
        <w:ind w:left="850" w:right="1134"/>
        <w:contextualSpacing/>
        <w:jc w:val="both"/>
        <w:rPr>
          <w:rFonts w:ascii="Arial" w:eastAsia="Times New Roman" w:hAnsi="Arial" w:cs="David"/>
          <w:b/>
          <w:bCs/>
          <w:sz w:val="24"/>
          <w:szCs w:val="24"/>
          <w:rtl/>
        </w:rPr>
      </w:pPr>
      <w:r w:rsidRPr="00805111">
        <w:rPr>
          <w:rFonts w:ascii="Arial" w:eastAsia="Times New Roman" w:hAnsi="Arial" w:cs="David"/>
          <w:b/>
          <w:bCs/>
          <w:sz w:val="24"/>
          <w:szCs w:val="24"/>
          <w:rtl/>
        </w:rPr>
        <w:t>א. מרשי התחייב שהוא יעמוד בדרישות החוק ולא יקליט את הדיון ואני מאמין שגם האישה.</w:t>
      </w:r>
    </w:p>
    <w:p w:rsidR="00805111" w:rsidRPr="00805111" w:rsidRDefault="00805111" w:rsidP="00805111">
      <w:pPr>
        <w:spacing w:after="0" w:line="360" w:lineRule="auto"/>
        <w:ind w:left="850" w:right="1134"/>
        <w:contextualSpacing/>
        <w:jc w:val="both"/>
        <w:rPr>
          <w:rFonts w:ascii="Arial" w:eastAsia="Times New Roman" w:hAnsi="Arial" w:cs="David"/>
          <w:b/>
          <w:bCs/>
          <w:sz w:val="24"/>
          <w:szCs w:val="24"/>
          <w:rtl/>
        </w:rPr>
      </w:pPr>
      <w:r w:rsidRPr="00805111">
        <w:rPr>
          <w:rFonts w:ascii="Arial" w:eastAsia="Times New Roman" w:hAnsi="Arial" w:cs="David"/>
          <w:b/>
          <w:bCs/>
          <w:sz w:val="24"/>
          <w:szCs w:val="24"/>
          <w:rtl/>
        </w:rPr>
        <w:t>ב. כל דבר שיתרחש באולם זה היום לא יובא לידיעת הציבור או יפורסם אלא אם ניתנה רשות מוקדמת על ידי בית המשפט.</w:t>
      </w:r>
    </w:p>
    <w:p w:rsidR="00805111" w:rsidRPr="00805111" w:rsidRDefault="00805111" w:rsidP="00805111">
      <w:pPr>
        <w:spacing w:after="0" w:line="360" w:lineRule="auto"/>
        <w:ind w:left="850" w:right="1134"/>
        <w:contextualSpacing/>
        <w:jc w:val="both"/>
        <w:rPr>
          <w:rFonts w:ascii="Arial" w:eastAsia="Times New Roman" w:hAnsi="Arial" w:cs="David"/>
          <w:sz w:val="24"/>
          <w:szCs w:val="24"/>
        </w:rPr>
      </w:pPr>
      <w:r w:rsidRPr="00805111">
        <w:rPr>
          <w:rFonts w:ascii="Arial" w:eastAsia="Times New Roman" w:hAnsi="Arial" w:cs="David"/>
          <w:b/>
          <w:bCs/>
          <w:sz w:val="24"/>
          <w:szCs w:val="24"/>
          <w:rtl/>
        </w:rPr>
        <w:t>ג. אנו סבורים שנעשה עוול בל ישוער כאדם שמוחזק בן ערובה כמו רשות הרווחה ונעשו שם דברים שלא נעשו ועדיין זכותו של מי שכואב לומר. אני אומר ששאר החוקים חלים אם הוא ירצה לפרסם משהו מהדיון הוא יפנה לביהמ"ש ואם תינתן לו רשות הוא יפרסם את זה</w:t>
      </w:r>
      <w:r w:rsidRPr="00805111">
        <w:rPr>
          <w:rFonts w:ascii="Arial" w:eastAsia="Times New Roman" w:hAnsi="Arial" w:cs="David"/>
          <w:sz w:val="24"/>
          <w:szCs w:val="24"/>
          <w:rtl/>
        </w:rPr>
        <w:t xml:space="preserve">".     </w:t>
      </w:r>
    </w:p>
    <w:p w:rsidR="00805111" w:rsidRPr="00805111" w:rsidRDefault="00805111" w:rsidP="00805111">
      <w:pPr>
        <w:spacing w:after="0" w:line="360" w:lineRule="auto"/>
        <w:ind w:left="567"/>
        <w:contextualSpacing/>
        <w:jc w:val="both"/>
        <w:rPr>
          <w:rFonts w:ascii="Arial" w:eastAsia="Times New Roman" w:hAnsi="Arial" w:cs="David"/>
          <w:sz w:val="24"/>
          <w:szCs w:val="24"/>
        </w:rPr>
      </w:pPr>
      <w:r w:rsidRPr="00805111">
        <w:rPr>
          <w:rFonts w:ascii="Arial" w:eastAsia="Times New Roman" w:hAnsi="Arial" w:cs="David"/>
          <w:sz w:val="24"/>
          <w:szCs w:val="24"/>
          <w:rtl/>
        </w:rPr>
        <w:t xml:space="preserve">  </w:t>
      </w:r>
    </w:p>
    <w:p w:rsidR="00805111" w:rsidRPr="00805111" w:rsidRDefault="00805111" w:rsidP="00805111">
      <w:pPr>
        <w:numPr>
          <w:ilvl w:val="0"/>
          <w:numId w:val="1"/>
        </w:numPr>
        <w:spacing w:after="0" w:line="360" w:lineRule="auto"/>
        <w:ind w:left="567" w:hanging="567"/>
        <w:contextualSpacing/>
        <w:jc w:val="both"/>
        <w:rPr>
          <w:rFonts w:ascii="Arial" w:eastAsia="Times New Roman" w:hAnsi="Arial" w:cs="David"/>
          <w:sz w:val="24"/>
          <w:szCs w:val="24"/>
        </w:rPr>
      </w:pPr>
      <w:r w:rsidRPr="00805111">
        <w:rPr>
          <w:rFonts w:ascii="Arial" w:eastAsia="Times New Roman" w:hAnsi="Arial" w:cs="David"/>
          <w:b/>
          <w:bCs/>
          <w:sz w:val="24"/>
          <w:szCs w:val="24"/>
          <w:rtl/>
        </w:rPr>
        <w:lastRenderedPageBreak/>
        <w:t>לאחר בחינת הבקשה, התגובה לה והתשובה לתגובה -דין הבקשה להתקבל ויש ליתן צו קבוע כמפורט בבקשה</w:t>
      </w:r>
      <w:r w:rsidRPr="00805111">
        <w:rPr>
          <w:rFonts w:ascii="Arial" w:eastAsia="Times New Roman" w:hAnsi="Arial" w:cs="David"/>
          <w:sz w:val="24"/>
          <w:szCs w:val="24"/>
          <w:rtl/>
        </w:rPr>
        <w:t xml:space="preserve">.   </w:t>
      </w:r>
    </w:p>
    <w:p w:rsidR="00805111" w:rsidRPr="00805111" w:rsidRDefault="00805111" w:rsidP="00805111">
      <w:pPr>
        <w:spacing w:after="0" w:line="360" w:lineRule="auto"/>
        <w:ind w:left="567"/>
        <w:contextualSpacing/>
        <w:jc w:val="both"/>
        <w:rPr>
          <w:rFonts w:ascii="Arial" w:eastAsia="Times New Roman" w:hAnsi="Arial" w:cs="David"/>
          <w:sz w:val="24"/>
          <w:szCs w:val="24"/>
        </w:rPr>
      </w:pPr>
    </w:p>
    <w:p w:rsidR="00805111" w:rsidRPr="00805111" w:rsidRDefault="00805111" w:rsidP="00805111">
      <w:pPr>
        <w:numPr>
          <w:ilvl w:val="0"/>
          <w:numId w:val="1"/>
        </w:numPr>
        <w:spacing w:after="0" w:line="360" w:lineRule="auto"/>
        <w:ind w:left="567" w:hanging="567"/>
        <w:contextualSpacing/>
        <w:jc w:val="both"/>
        <w:rPr>
          <w:rFonts w:ascii="Arial" w:eastAsia="Times New Roman" w:hAnsi="Arial" w:cs="David"/>
          <w:sz w:val="24"/>
          <w:szCs w:val="24"/>
        </w:rPr>
      </w:pPr>
      <w:r w:rsidRPr="00805111">
        <w:rPr>
          <w:rFonts w:ascii="Arial" w:eastAsia="Times New Roman" w:hAnsi="Arial" w:cs="David"/>
          <w:sz w:val="24"/>
          <w:szCs w:val="24"/>
          <w:rtl/>
        </w:rPr>
        <w:t xml:space="preserve">יודגש, כפי שעולה מהדיון שנערך בעניינם של הצדדים, המשיב התחייב שלא לפרסם פרטים הנוגעים להליכים המשפטיים, אולם נראה כי קיימת אי בהירות מצידו מה כולל פירסום המתייחס להליכים המשפטיים. </w:t>
      </w:r>
    </w:p>
    <w:p w:rsidR="00805111" w:rsidRPr="00805111" w:rsidRDefault="00805111" w:rsidP="00805111">
      <w:pPr>
        <w:spacing w:after="0" w:line="360" w:lineRule="auto"/>
        <w:ind w:left="567"/>
        <w:contextualSpacing/>
        <w:jc w:val="both"/>
        <w:rPr>
          <w:rFonts w:ascii="Arial" w:eastAsia="Times New Roman" w:hAnsi="Arial" w:cs="David"/>
          <w:sz w:val="24"/>
          <w:szCs w:val="24"/>
        </w:rPr>
      </w:pPr>
    </w:p>
    <w:p w:rsidR="00805111" w:rsidRPr="00805111" w:rsidRDefault="00805111" w:rsidP="00805111">
      <w:pPr>
        <w:numPr>
          <w:ilvl w:val="0"/>
          <w:numId w:val="1"/>
        </w:numPr>
        <w:spacing w:after="0" w:line="360" w:lineRule="auto"/>
        <w:ind w:left="567" w:hanging="567"/>
        <w:contextualSpacing/>
        <w:jc w:val="both"/>
        <w:rPr>
          <w:rFonts w:ascii="Arial" w:eastAsia="Times New Roman" w:hAnsi="Arial" w:cs="David"/>
          <w:sz w:val="24"/>
          <w:szCs w:val="24"/>
        </w:rPr>
      </w:pPr>
      <w:r w:rsidRPr="00805111">
        <w:rPr>
          <w:rFonts w:ascii="Arial" w:eastAsia="Times New Roman" w:hAnsi="Arial" w:cs="David"/>
          <w:sz w:val="24"/>
          <w:szCs w:val="24"/>
          <w:rtl/>
        </w:rPr>
        <w:t>המשיב עצמו מודע לבעייתיות הנעוצה בפרסומיו ברשתות החברתיות וייאמר לזכותו, כפי שגם ציינתי בהליך הבזיון, כי מרבית הפרסומים הוסרו וכי הלקחים, לפחות בחלקם הופקו. עם זאת ולאור אותה אי בהירות ניכר כי נדרש לחדד את הגבולות והמגבלות החלות ולהבהיר מה נכלל בגדר האיסור לפרסם. כמו כן מאז הגשת הבקשה הועלו עוד פרסומים הנוגעים ישירות לקיום הסדרי הראיה באמצעות המלווה מטעמו של האב כולל התכתבויות בדף הפייסבוק הנוגעות ישירות למחלוקות בין ההורים לגבי הסדרי הראיה כולל תמונות של הקטינות במסגרת הסדרי הראיה והמחלוקות בין ההורים בהתייחס לכך ישירות.</w:t>
      </w:r>
    </w:p>
    <w:p w:rsidR="00805111" w:rsidRPr="00805111" w:rsidRDefault="00805111" w:rsidP="00805111">
      <w:pPr>
        <w:spacing w:after="0" w:line="360" w:lineRule="auto"/>
        <w:ind w:left="567"/>
        <w:contextualSpacing/>
        <w:jc w:val="both"/>
        <w:rPr>
          <w:rFonts w:ascii="Arial" w:eastAsia="Times New Roman" w:hAnsi="Arial" w:cs="David"/>
          <w:sz w:val="24"/>
          <w:szCs w:val="24"/>
        </w:rPr>
      </w:pPr>
    </w:p>
    <w:p w:rsidR="00805111" w:rsidRPr="00805111" w:rsidRDefault="00805111" w:rsidP="00805111">
      <w:pPr>
        <w:numPr>
          <w:ilvl w:val="0"/>
          <w:numId w:val="1"/>
        </w:numPr>
        <w:spacing w:after="0" w:line="360" w:lineRule="auto"/>
        <w:ind w:left="567" w:hanging="567"/>
        <w:contextualSpacing/>
        <w:jc w:val="both"/>
        <w:rPr>
          <w:rFonts w:ascii="Arial" w:eastAsia="Times New Roman" w:hAnsi="Arial" w:cs="David"/>
          <w:sz w:val="24"/>
          <w:szCs w:val="24"/>
        </w:rPr>
      </w:pPr>
      <w:r w:rsidRPr="00805111">
        <w:rPr>
          <w:rFonts w:ascii="Arial" w:eastAsia="Times New Roman" w:hAnsi="Arial" w:cs="David"/>
          <w:sz w:val="24"/>
          <w:szCs w:val="24"/>
          <w:rtl/>
        </w:rPr>
        <w:t>ויודגש – תמונות של האב עם הבנות של משחק, ארוחת ערב, בילוי משותף אין בכוונתי למנוע. אולם תמונות המתייחסות לסכסוך בין ההורים ובהן גם התייחסויות הנוגעות ישירות לסכסוך ולמחלוקות אין מקום לאפשר.</w:t>
      </w:r>
    </w:p>
    <w:p w:rsidR="00805111" w:rsidRPr="00805111" w:rsidRDefault="00805111" w:rsidP="00805111">
      <w:pPr>
        <w:spacing w:after="0" w:line="360" w:lineRule="auto"/>
        <w:ind w:left="567"/>
        <w:contextualSpacing/>
        <w:jc w:val="both"/>
        <w:rPr>
          <w:rFonts w:ascii="Arial" w:eastAsia="Times New Roman" w:hAnsi="Arial" w:cs="David"/>
          <w:sz w:val="24"/>
          <w:szCs w:val="24"/>
        </w:rPr>
      </w:pPr>
    </w:p>
    <w:p w:rsidR="00805111" w:rsidRPr="00805111" w:rsidRDefault="00805111" w:rsidP="00805111">
      <w:pPr>
        <w:numPr>
          <w:ilvl w:val="0"/>
          <w:numId w:val="1"/>
        </w:numPr>
        <w:spacing w:after="0" w:line="360" w:lineRule="auto"/>
        <w:ind w:left="567" w:hanging="567"/>
        <w:contextualSpacing/>
        <w:jc w:val="both"/>
        <w:rPr>
          <w:rFonts w:ascii="Arial" w:eastAsia="Times New Roman" w:hAnsi="Arial" w:cs="David"/>
          <w:sz w:val="24"/>
          <w:szCs w:val="24"/>
        </w:rPr>
      </w:pPr>
      <w:r w:rsidRPr="00805111">
        <w:rPr>
          <w:rFonts w:ascii="Arial" w:eastAsia="Times New Roman" w:hAnsi="Arial" w:cs="David"/>
          <w:sz w:val="24"/>
          <w:szCs w:val="24"/>
          <w:rtl/>
        </w:rPr>
        <w:t>יצויין כי המשיב העלה את החלטת בית המשפט הנוגעת לצו הארעי שניתן ביום 9.9.15 לדף הפייסבוק שלו עוד באותו יום. המדובר בהפרה מיידית של הצו הארעי שניתן. התנהלות זו של המשיב מוסיפה ומשכנעת בדבר הצורך במתן צו קבוע והצבת גבולות ברורים לגבי תחולת הצו.</w:t>
      </w:r>
    </w:p>
    <w:p w:rsidR="00805111" w:rsidRPr="00805111" w:rsidRDefault="00805111" w:rsidP="00805111">
      <w:pPr>
        <w:spacing w:after="0" w:line="360" w:lineRule="auto"/>
        <w:ind w:left="567"/>
        <w:contextualSpacing/>
        <w:jc w:val="both"/>
        <w:rPr>
          <w:rFonts w:ascii="Arial" w:eastAsia="Times New Roman" w:hAnsi="Arial" w:cs="David"/>
          <w:sz w:val="24"/>
          <w:szCs w:val="24"/>
        </w:rPr>
      </w:pPr>
      <w:r w:rsidRPr="00805111">
        <w:rPr>
          <w:rFonts w:ascii="Arial" w:eastAsia="Times New Roman" w:hAnsi="Arial" w:cs="David"/>
          <w:sz w:val="24"/>
          <w:szCs w:val="24"/>
          <w:rtl/>
        </w:rPr>
        <w:t xml:space="preserve"> </w:t>
      </w:r>
    </w:p>
    <w:p w:rsidR="00805111" w:rsidRPr="00805111" w:rsidRDefault="00805111" w:rsidP="00805111">
      <w:pPr>
        <w:numPr>
          <w:ilvl w:val="0"/>
          <w:numId w:val="1"/>
        </w:numPr>
        <w:spacing w:after="0" w:line="360" w:lineRule="auto"/>
        <w:ind w:left="567" w:hanging="567"/>
        <w:contextualSpacing/>
        <w:jc w:val="both"/>
        <w:rPr>
          <w:rFonts w:ascii="Arial" w:eastAsia="Times New Roman" w:hAnsi="Arial" w:cs="David"/>
          <w:sz w:val="24"/>
          <w:szCs w:val="24"/>
        </w:rPr>
      </w:pPr>
      <w:r w:rsidRPr="00805111">
        <w:rPr>
          <w:rFonts w:ascii="Arial" w:eastAsia="Times New Roman" w:hAnsi="Arial" w:cs="David"/>
          <w:sz w:val="24"/>
          <w:szCs w:val="24"/>
          <w:rtl/>
        </w:rPr>
        <w:t xml:space="preserve">בכל הנוגע לטענות המשיב לגבי תסקירים וחוות דעת שפורסמו, הגם שחלקם פורסמו טרם מתן הצו וחלקם פורסמו לאחר מתן הצו – הרי שתסקיר בעניין המשפחה, שניתן בהתאם להחלטת בית המשפט, הינו באופן ישיר מידע מתוך ההליך המשפטי. כך גם וועדת תסקירים ושיחות מוקלטות ותמונות מתוך מרכז הקשר הנוגעות </w:t>
      </w:r>
      <w:r w:rsidRPr="00805111">
        <w:rPr>
          <w:rFonts w:ascii="Arial" w:eastAsia="Times New Roman" w:hAnsi="Arial" w:cs="Miriam"/>
          <w:sz w:val="24"/>
          <w:szCs w:val="24"/>
          <w:rtl/>
        </w:rPr>
        <w:t>ישירות</w:t>
      </w:r>
      <w:r w:rsidRPr="00805111">
        <w:rPr>
          <w:rFonts w:ascii="Arial" w:eastAsia="Times New Roman" w:hAnsi="Arial" w:cs="David"/>
          <w:sz w:val="24"/>
          <w:szCs w:val="24"/>
          <w:rtl/>
        </w:rPr>
        <w:t xml:space="preserve"> לקטינות ולמצבן. שיחות מוקלטות עם העו"סיות בכל הנוגע </w:t>
      </w:r>
      <w:r w:rsidRPr="00805111">
        <w:rPr>
          <w:rFonts w:ascii="Arial" w:eastAsia="Times New Roman" w:hAnsi="Arial" w:cs="Miriam"/>
          <w:sz w:val="24"/>
          <w:szCs w:val="24"/>
          <w:rtl/>
        </w:rPr>
        <w:t>ישירות</w:t>
      </w:r>
      <w:r w:rsidRPr="00805111">
        <w:rPr>
          <w:rFonts w:ascii="Arial" w:eastAsia="Times New Roman" w:hAnsi="Arial" w:cs="David"/>
          <w:sz w:val="24"/>
          <w:szCs w:val="24"/>
          <w:rtl/>
        </w:rPr>
        <w:t xml:space="preserve"> לתיק ומצבן של הקטינות אין מקום לפרסומם הפומבי. </w:t>
      </w:r>
    </w:p>
    <w:p w:rsidR="00805111" w:rsidRPr="00805111" w:rsidRDefault="00805111" w:rsidP="00805111">
      <w:pPr>
        <w:spacing w:after="0" w:line="360" w:lineRule="auto"/>
        <w:ind w:left="567"/>
        <w:contextualSpacing/>
        <w:jc w:val="both"/>
        <w:rPr>
          <w:rFonts w:ascii="Arial" w:eastAsia="Times New Roman" w:hAnsi="Arial" w:cs="David"/>
          <w:sz w:val="24"/>
          <w:szCs w:val="24"/>
          <w:rtl/>
        </w:rPr>
      </w:pPr>
    </w:p>
    <w:p w:rsidR="00805111" w:rsidRPr="00805111" w:rsidRDefault="00805111" w:rsidP="00805111">
      <w:pPr>
        <w:spacing w:after="0" w:line="360" w:lineRule="auto"/>
        <w:ind w:left="567"/>
        <w:contextualSpacing/>
        <w:jc w:val="both"/>
        <w:rPr>
          <w:rFonts w:ascii="Arial" w:eastAsia="Times New Roman" w:hAnsi="Arial" w:cs="David"/>
          <w:sz w:val="24"/>
          <w:szCs w:val="24"/>
          <w:rtl/>
        </w:rPr>
      </w:pPr>
    </w:p>
    <w:p w:rsidR="00805111" w:rsidRPr="00805111" w:rsidRDefault="00805111" w:rsidP="00805111">
      <w:pPr>
        <w:spacing w:after="0" w:line="360" w:lineRule="auto"/>
        <w:ind w:left="567"/>
        <w:contextualSpacing/>
        <w:jc w:val="both"/>
        <w:rPr>
          <w:rFonts w:ascii="Arial" w:eastAsia="Times New Roman" w:hAnsi="Arial" w:cs="David"/>
          <w:sz w:val="24"/>
          <w:szCs w:val="24"/>
          <w:rtl/>
        </w:rPr>
      </w:pPr>
    </w:p>
    <w:p w:rsidR="00805111" w:rsidRPr="00805111" w:rsidRDefault="00805111" w:rsidP="00805111">
      <w:pPr>
        <w:spacing w:after="0" w:line="360" w:lineRule="auto"/>
        <w:ind w:left="567"/>
        <w:contextualSpacing/>
        <w:jc w:val="both"/>
        <w:rPr>
          <w:rFonts w:ascii="Arial" w:eastAsia="Times New Roman" w:hAnsi="Arial" w:cs="David"/>
          <w:sz w:val="24"/>
          <w:szCs w:val="24"/>
          <w:rtl/>
        </w:rPr>
      </w:pPr>
    </w:p>
    <w:p w:rsidR="00805111" w:rsidRPr="00805111" w:rsidRDefault="00805111" w:rsidP="00805111">
      <w:pPr>
        <w:spacing w:after="0" w:line="360" w:lineRule="auto"/>
        <w:ind w:left="567"/>
        <w:contextualSpacing/>
        <w:jc w:val="both"/>
        <w:rPr>
          <w:rFonts w:ascii="Arial" w:eastAsia="Times New Roman" w:hAnsi="Arial" w:cs="David"/>
          <w:sz w:val="24"/>
          <w:szCs w:val="24"/>
          <w:rtl/>
        </w:rPr>
      </w:pPr>
    </w:p>
    <w:p w:rsidR="00805111" w:rsidRPr="00805111" w:rsidRDefault="00805111" w:rsidP="00805111">
      <w:pPr>
        <w:spacing w:after="0" w:line="360" w:lineRule="auto"/>
        <w:ind w:left="567"/>
        <w:contextualSpacing/>
        <w:jc w:val="both"/>
        <w:rPr>
          <w:rFonts w:ascii="Arial" w:eastAsia="Times New Roman" w:hAnsi="Arial" w:cs="David"/>
          <w:sz w:val="24"/>
          <w:szCs w:val="24"/>
        </w:rPr>
      </w:pPr>
    </w:p>
    <w:p w:rsidR="00805111" w:rsidRPr="00805111" w:rsidRDefault="00805111" w:rsidP="00805111">
      <w:pPr>
        <w:numPr>
          <w:ilvl w:val="0"/>
          <w:numId w:val="1"/>
        </w:numPr>
        <w:spacing w:after="0" w:line="360" w:lineRule="auto"/>
        <w:ind w:left="567" w:hanging="567"/>
        <w:contextualSpacing/>
        <w:jc w:val="both"/>
        <w:rPr>
          <w:rFonts w:ascii="Arial" w:eastAsia="Times New Roman" w:hAnsi="Arial" w:cs="David"/>
          <w:sz w:val="24"/>
          <w:szCs w:val="24"/>
        </w:rPr>
      </w:pPr>
      <w:r w:rsidRPr="00805111">
        <w:rPr>
          <w:rFonts w:ascii="Arial" w:eastAsia="Times New Roman" w:hAnsi="Arial" w:cs="David"/>
          <w:sz w:val="24"/>
          <w:szCs w:val="24"/>
          <w:rtl/>
        </w:rPr>
        <w:t xml:space="preserve">טענות המשיב כי פרסם אך ורק מסמכים אשר נערכו על ידי שירותי הרווחה דינן להידחות. </w:t>
      </w:r>
      <w:r w:rsidRPr="00805111">
        <w:rPr>
          <w:rFonts w:ascii="Arial" w:eastAsia="Times New Roman" w:hAnsi="Arial" w:cs="David"/>
          <w:b/>
          <w:bCs/>
          <w:sz w:val="24"/>
          <w:szCs w:val="24"/>
          <w:rtl/>
        </w:rPr>
        <w:t>התסקיר נכתב על פי הוראת בית המשפט ולצורך ההליכים המשפטיים ועל כן הוא חלק מובהק ונדרש להליכים המשפטיים ועל כן חוסה תחת האיסור הקבוע בחוק של "דלתיים סגורות"</w:t>
      </w:r>
      <w:r w:rsidRPr="00805111">
        <w:rPr>
          <w:rFonts w:ascii="Arial" w:eastAsia="Times New Roman" w:hAnsi="Arial" w:cs="David"/>
          <w:sz w:val="24"/>
          <w:szCs w:val="24"/>
          <w:rtl/>
        </w:rPr>
        <w:t xml:space="preserve">. </w:t>
      </w:r>
      <w:r w:rsidRPr="00805111">
        <w:rPr>
          <w:rFonts w:ascii="Arial" w:eastAsia="Times New Roman" w:hAnsi="Arial" w:cs="David"/>
          <w:b/>
          <w:bCs/>
          <w:sz w:val="24"/>
          <w:szCs w:val="24"/>
          <w:rtl/>
        </w:rPr>
        <w:t xml:space="preserve">התסקיר מתאר ומפרט את לב המחלוקות שבין הצדדים, הנוגעות </w:t>
      </w:r>
      <w:r w:rsidRPr="00805111">
        <w:rPr>
          <w:rFonts w:ascii="Arial" w:eastAsia="Times New Roman" w:hAnsi="Arial" w:cs="Miriam"/>
          <w:sz w:val="24"/>
          <w:szCs w:val="24"/>
          <w:rtl/>
        </w:rPr>
        <w:t>ישירות</w:t>
      </w:r>
      <w:r w:rsidRPr="00805111">
        <w:rPr>
          <w:rFonts w:ascii="Arial" w:eastAsia="Times New Roman" w:hAnsi="Arial" w:cs="David"/>
          <w:b/>
          <w:bCs/>
          <w:sz w:val="24"/>
          <w:szCs w:val="24"/>
          <w:rtl/>
        </w:rPr>
        <w:t xml:space="preserve"> להליכים המשפטיים וקשורות גם לתיאור מצבן המורכב של הקטינות וממליץ על דרכי טיפול הן בקטינות והן בהוריהן</w:t>
      </w:r>
      <w:r w:rsidRPr="00805111">
        <w:rPr>
          <w:rFonts w:ascii="Arial" w:eastAsia="Times New Roman" w:hAnsi="Arial" w:cs="David"/>
          <w:sz w:val="24"/>
          <w:szCs w:val="24"/>
          <w:rtl/>
        </w:rPr>
        <w:t xml:space="preserve">. </w:t>
      </w:r>
      <w:r w:rsidRPr="00805111">
        <w:rPr>
          <w:rFonts w:ascii="Arial" w:eastAsia="Times New Roman" w:hAnsi="Arial" w:cs="David"/>
          <w:b/>
          <w:bCs/>
          <w:sz w:val="24"/>
          <w:szCs w:val="24"/>
          <w:rtl/>
        </w:rPr>
        <w:t>על כן התסקיר הינו חלק מן ההליך המשפטי ונוצר ונערך עבור ההליכים המשפטיים ועל כן לא ניתן לפרסם ממנו דבר</w:t>
      </w:r>
      <w:r w:rsidRPr="00805111">
        <w:rPr>
          <w:rFonts w:ascii="Arial" w:eastAsia="Times New Roman" w:hAnsi="Arial" w:cs="David"/>
          <w:sz w:val="24"/>
          <w:szCs w:val="24"/>
          <w:rtl/>
        </w:rPr>
        <w:t xml:space="preserve">. </w:t>
      </w:r>
    </w:p>
    <w:p w:rsidR="00805111" w:rsidRPr="00805111" w:rsidRDefault="00805111" w:rsidP="00805111">
      <w:pPr>
        <w:spacing w:after="0" w:line="360" w:lineRule="auto"/>
        <w:ind w:left="567"/>
        <w:contextualSpacing/>
        <w:jc w:val="both"/>
        <w:rPr>
          <w:rFonts w:ascii="Arial" w:eastAsia="Times New Roman" w:hAnsi="Arial" w:cs="David"/>
          <w:sz w:val="24"/>
          <w:szCs w:val="24"/>
        </w:rPr>
      </w:pPr>
    </w:p>
    <w:p w:rsidR="00805111" w:rsidRPr="00805111" w:rsidRDefault="00805111" w:rsidP="00805111">
      <w:pPr>
        <w:numPr>
          <w:ilvl w:val="0"/>
          <w:numId w:val="1"/>
        </w:numPr>
        <w:spacing w:after="0" w:line="360" w:lineRule="auto"/>
        <w:ind w:left="567" w:hanging="567"/>
        <w:contextualSpacing/>
        <w:jc w:val="both"/>
        <w:rPr>
          <w:rFonts w:ascii="Arial" w:eastAsia="Times New Roman" w:hAnsi="Arial" w:cs="David"/>
          <w:sz w:val="24"/>
          <w:szCs w:val="24"/>
        </w:rPr>
      </w:pPr>
      <w:r w:rsidRPr="00805111">
        <w:rPr>
          <w:rFonts w:ascii="Arial" w:eastAsia="Times New Roman" w:hAnsi="Arial" w:cs="David"/>
          <w:sz w:val="24"/>
          <w:szCs w:val="24"/>
          <w:rtl/>
        </w:rPr>
        <w:t xml:space="preserve">יתרה מכך, גם ללא האיסור המפורש בחוק, אני סבורה כי פרסום חוות דעת המתייחסת למצבן הרגשי, הפיזי והנפשי של הקטינות מהווה הפרת הפרטיות של הקטינות באופן מובהק ואינו עולה בקנה אחד עם טובתן של הקטינות. </w:t>
      </w:r>
    </w:p>
    <w:p w:rsidR="00805111" w:rsidRPr="00805111" w:rsidRDefault="00805111" w:rsidP="00805111">
      <w:pPr>
        <w:spacing w:after="0" w:line="360" w:lineRule="auto"/>
        <w:ind w:left="567"/>
        <w:contextualSpacing/>
        <w:jc w:val="both"/>
        <w:rPr>
          <w:rFonts w:ascii="Arial" w:eastAsia="Times New Roman" w:hAnsi="Arial" w:cs="David"/>
          <w:b/>
          <w:bCs/>
          <w:sz w:val="24"/>
          <w:szCs w:val="24"/>
          <w:rtl/>
        </w:rPr>
      </w:pPr>
    </w:p>
    <w:p w:rsidR="00805111" w:rsidRPr="00805111" w:rsidRDefault="00805111" w:rsidP="00805111">
      <w:pPr>
        <w:numPr>
          <w:ilvl w:val="0"/>
          <w:numId w:val="1"/>
        </w:numPr>
        <w:spacing w:after="0" w:line="360" w:lineRule="auto"/>
        <w:ind w:left="567" w:hanging="567"/>
        <w:contextualSpacing/>
        <w:jc w:val="both"/>
        <w:rPr>
          <w:rFonts w:ascii="Arial" w:eastAsia="Times New Roman" w:hAnsi="Arial" w:cs="David"/>
          <w:b/>
          <w:bCs/>
          <w:sz w:val="24"/>
          <w:szCs w:val="24"/>
        </w:rPr>
      </w:pPr>
      <w:r w:rsidRPr="00805111">
        <w:rPr>
          <w:rFonts w:ascii="Arial" w:eastAsia="Times New Roman" w:hAnsi="Arial" w:cs="David"/>
          <w:sz w:val="24"/>
          <w:szCs w:val="24"/>
          <w:rtl/>
        </w:rPr>
        <w:t xml:space="preserve">בכל הנוגע לפרסום תמונות הקטינות - תמונות החושפות את מצבן של הקטינות ברגעים קשים, רגעי משבר ומצוקה, ובהתמודדותן במצבים מורכבים כמו למשל במעמד מרכז הקשר, כמו למשל בקיום הסדרי הראייה והמתנה עם הקטינה בחדר המדרגות בשעות הערב המאוחרות תוך חילופי האשמות ומלל מיותר בין ההורים והמלווה – כאשר הכל מפורסם ומתועד על גבי דפי הפייסבוק - הינם פרסומים שאין להם מקום. </w:t>
      </w:r>
    </w:p>
    <w:p w:rsidR="00805111" w:rsidRPr="00805111" w:rsidRDefault="00805111" w:rsidP="00805111">
      <w:pPr>
        <w:spacing w:after="0" w:line="360" w:lineRule="auto"/>
        <w:ind w:left="567"/>
        <w:contextualSpacing/>
        <w:jc w:val="both"/>
        <w:rPr>
          <w:rFonts w:ascii="Arial" w:eastAsia="Times New Roman" w:hAnsi="Arial" w:cs="David"/>
          <w:b/>
          <w:bCs/>
          <w:sz w:val="24"/>
          <w:szCs w:val="24"/>
        </w:rPr>
      </w:pPr>
    </w:p>
    <w:p w:rsidR="00805111" w:rsidRPr="00805111" w:rsidRDefault="00805111" w:rsidP="00805111">
      <w:pPr>
        <w:numPr>
          <w:ilvl w:val="0"/>
          <w:numId w:val="1"/>
        </w:numPr>
        <w:spacing w:after="0" w:line="360" w:lineRule="auto"/>
        <w:ind w:left="567" w:hanging="567"/>
        <w:contextualSpacing/>
        <w:jc w:val="both"/>
        <w:rPr>
          <w:rFonts w:ascii="Arial" w:eastAsia="Times New Roman" w:hAnsi="Arial" w:cs="David"/>
          <w:b/>
          <w:bCs/>
          <w:sz w:val="24"/>
          <w:szCs w:val="24"/>
        </w:rPr>
      </w:pPr>
      <w:r w:rsidRPr="00805111">
        <w:rPr>
          <w:rFonts w:ascii="Arial" w:eastAsia="Times New Roman" w:hAnsi="Arial" w:cs="David"/>
          <w:b/>
          <w:bCs/>
          <w:sz w:val="24"/>
          <w:szCs w:val="24"/>
          <w:rtl/>
        </w:rPr>
        <w:t xml:space="preserve">יש לכבד את זכותן של הקטינות לקיום ההסדרים - עם כל אחד מההורים- ללא שהדבר יהפוך להיות מידע נגיש וזמין לאנשים אחרים.    </w:t>
      </w:r>
    </w:p>
    <w:p w:rsidR="00805111" w:rsidRPr="00805111" w:rsidRDefault="00805111" w:rsidP="00805111">
      <w:pPr>
        <w:spacing w:after="0" w:line="360" w:lineRule="auto"/>
        <w:ind w:left="567"/>
        <w:contextualSpacing/>
        <w:jc w:val="both"/>
        <w:rPr>
          <w:rFonts w:ascii="Arial" w:eastAsia="Times New Roman" w:hAnsi="Arial" w:cs="David"/>
          <w:b/>
          <w:bCs/>
          <w:sz w:val="24"/>
          <w:szCs w:val="24"/>
        </w:rPr>
      </w:pPr>
    </w:p>
    <w:p w:rsidR="00805111" w:rsidRPr="00805111" w:rsidRDefault="00805111" w:rsidP="00805111">
      <w:pPr>
        <w:numPr>
          <w:ilvl w:val="0"/>
          <w:numId w:val="1"/>
        </w:numPr>
        <w:spacing w:after="0" w:line="360" w:lineRule="auto"/>
        <w:ind w:left="567" w:hanging="567"/>
        <w:contextualSpacing/>
        <w:jc w:val="both"/>
        <w:rPr>
          <w:rFonts w:ascii="Arial" w:eastAsia="Times New Roman" w:hAnsi="Arial" w:cs="David"/>
          <w:b/>
          <w:bCs/>
          <w:sz w:val="24"/>
          <w:szCs w:val="24"/>
        </w:rPr>
      </w:pPr>
      <w:r w:rsidRPr="00805111">
        <w:rPr>
          <w:rFonts w:ascii="Arial" w:eastAsia="Times New Roman" w:hAnsi="Arial" w:cs="David"/>
          <w:b/>
          <w:bCs/>
          <w:sz w:val="24"/>
          <w:szCs w:val="24"/>
          <w:rtl/>
        </w:rPr>
        <w:t xml:space="preserve">זכותן של הקטינות כי מצבן יהיה ידוע רק להוריהם ולעוסקים ישירות בסכסוך ולא מידע חשוף לכל. אין בכך כל תועלת לקטינות. </w:t>
      </w:r>
    </w:p>
    <w:p w:rsidR="00805111" w:rsidRPr="00805111" w:rsidRDefault="00805111" w:rsidP="00805111">
      <w:pPr>
        <w:spacing w:after="0" w:line="360" w:lineRule="auto"/>
        <w:ind w:left="567"/>
        <w:contextualSpacing/>
        <w:jc w:val="both"/>
        <w:rPr>
          <w:rFonts w:ascii="Arial" w:eastAsia="Times New Roman" w:hAnsi="Arial" w:cs="David"/>
          <w:sz w:val="24"/>
          <w:szCs w:val="24"/>
        </w:rPr>
      </w:pPr>
    </w:p>
    <w:p w:rsidR="00805111" w:rsidRPr="00805111" w:rsidRDefault="00805111" w:rsidP="00805111">
      <w:pPr>
        <w:numPr>
          <w:ilvl w:val="0"/>
          <w:numId w:val="1"/>
        </w:numPr>
        <w:spacing w:after="0" w:line="360" w:lineRule="auto"/>
        <w:ind w:left="567" w:hanging="567"/>
        <w:contextualSpacing/>
        <w:jc w:val="both"/>
        <w:rPr>
          <w:rFonts w:ascii="Arial" w:eastAsia="Times New Roman" w:hAnsi="Arial" w:cs="David"/>
          <w:sz w:val="24"/>
          <w:szCs w:val="24"/>
        </w:rPr>
      </w:pPr>
      <w:r w:rsidRPr="00805111">
        <w:rPr>
          <w:rFonts w:ascii="Arial" w:eastAsia="Times New Roman" w:hAnsi="Arial" w:cs="David"/>
          <w:sz w:val="24"/>
          <w:szCs w:val="24"/>
          <w:rtl/>
        </w:rPr>
        <w:t xml:space="preserve">יתרה מכך מאז הוגשה הבקשה הוגשו לבית המשפט פרסומים שבוצעו על ידי המלווה שנקבע להסדרי הראיה ומשקפים "בזמן אמת" את המחלוקות בין ההורים לגבי הסדרי הראיה והמחיר שהקטינות משלמות על המחלוקות הללו. עניין זה מעיד כי יש לשוב ולהבהיר את גדרי האיסור וכי פרסום זה, מעבר לכך שהוא מיותר, אסור. </w:t>
      </w:r>
      <w:r w:rsidRPr="00805111">
        <w:rPr>
          <w:rFonts w:ascii="Arial" w:eastAsia="Times New Roman" w:hAnsi="Arial" w:cs="David"/>
          <w:b/>
          <w:bCs/>
          <w:sz w:val="24"/>
          <w:szCs w:val="24"/>
          <w:rtl/>
        </w:rPr>
        <w:t xml:space="preserve">אין כל מקום לשיתוף ברשתות החברתיות מצבי משבר, מצוקה וקשיים של קטינות שאינן יכולות להתגונן מפני פרסומים אלה בכל צורה שהיא. </w:t>
      </w:r>
    </w:p>
    <w:p w:rsidR="00805111" w:rsidRPr="00805111" w:rsidRDefault="00805111" w:rsidP="00805111">
      <w:pPr>
        <w:spacing w:after="0" w:line="360" w:lineRule="auto"/>
        <w:ind w:left="567"/>
        <w:contextualSpacing/>
        <w:jc w:val="both"/>
        <w:rPr>
          <w:rFonts w:ascii="Arial" w:eastAsia="Times New Roman" w:hAnsi="Arial" w:cs="David"/>
          <w:sz w:val="24"/>
          <w:szCs w:val="24"/>
        </w:rPr>
      </w:pPr>
    </w:p>
    <w:p w:rsidR="00805111" w:rsidRPr="00805111" w:rsidRDefault="00805111" w:rsidP="00805111">
      <w:pPr>
        <w:numPr>
          <w:ilvl w:val="0"/>
          <w:numId w:val="1"/>
        </w:numPr>
        <w:spacing w:after="0" w:line="360" w:lineRule="auto"/>
        <w:ind w:left="567" w:hanging="567"/>
        <w:contextualSpacing/>
        <w:jc w:val="both"/>
        <w:rPr>
          <w:rFonts w:ascii="Arial" w:eastAsia="Times New Roman" w:hAnsi="Arial" w:cs="David"/>
          <w:sz w:val="24"/>
          <w:szCs w:val="24"/>
        </w:rPr>
      </w:pPr>
      <w:r w:rsidRPr="00805111">
        <w:rPr>
          <w:rFonts w:ascii="Arial" w:eastAsia="Times New Roman" w:hAnsi="Arial" w:cs="David"/>
          <w:sz w:val="24"/>
          <w:szCs w:val="24"/>
          <w:rtl/>
        </w:rPr>
        <w:lastRenderedPageBreak/>
        <w:t xml:space="preserve">מעבר לאיסור הקבוע בחוק, הרי שבחינת ההליכים המשפטיים (זהו ההליך השמיני) מעלה כי יש לשמור על זכויות הקטינות ולא לאפשר כי דבר הקשור לתיק, לרבות קיום הסדרי הראיה, מצבן של הקטינות בעת המחלוקות בין ההורים הקשורות להסדרי הראיה, תיעוד הקטינות לצורך המאבק בין ההורים, פרסום וועדת תסקירים והתסקירים עצמם ועוד – יפורסם באופן פומבי. </w:t>
      </w:r>
    </w:p>
    <w:p w:rsidR="00805111" w:rsidRPr="00805111" w:rsidRDefault="00805111" w:rsidP="00805111">
      <w:pPr>
        <w:spacing w:after="0" w:line="360" w:lineRule="auto"/>
        <w:ind w:left="567"/>
        <w:contextualSpacing/>
        <w:jc w:val="both"/>
        <w:rPr>
          <w:rFonts w:ascii="Arial" w:eastAsia="Times New Roman" w:hAnsi="Arial" w:cs="David"/>
          <w:sz w:val="24"/>
          <w:szCs w:val="24"/>
        </w:rPr>
      </w:pPr>
    </w:p>
    <w:p w:rsidR="00805111" w:rsidRPr="00805111" w:rsidRDefault="00805111" w:rsidP="00805111">
      <w:pPr>
        <w:numPr>
          <w:ilvl w:val="0"/>
          <w:numId w:val="1"/>
        </w:numPr>
        <w:spacing w:after="0" w:line="360" w:lineRule="auto"/>
        <w:ind w:left="567" w:hanging="567"/>
        <w:contextualSpacing/>
        <w:jc w:val="both"/>
        <w:rPr>
          <w:rFonts w:ascii="Arial" w:eastAsia="Times New Roman" w:hAnsi="Arial" w:cs="David"/>
          <w:b/>
          <w:bCs/>
          <w:sz w:val="24"/>
          <w:szCs w:val="24"/>
        </w:rPr>
      </w:pPr>
      <w:r w:rsidRPr="00805111">
        <w:rPr>
          <w:rFonts w:ascii="Arial" w:eastAsia="Times New Roman" w:hAnsi="Arial" w:cs="David"/>
          <w:b/>
          <w:bCs/>
          <w:sz w:val="24"/>
          <w:szCs w:val="24"/>
          <w:rtl/>
        </w:rPr>
        <w:t xml:space="preserve">זכותן של הקטינות גם כי פרטיותן לא תופר באמצעות פרסום ברשתות החברתיות המתעד אותן בעיתות משבר וקושי. הדברים נכונים ביתר שאת שעה שפרסום זה נועד לצורך המאבק בין ההורים ואין בו כיבוד לזכויות הבסיסיות ביותר של הקטינות. </w:t>
      </w:r>
    </w:p>
    <w:p w:rsidR="00805111" w:rsidRPr="00805111" w:rsidRDefault="00805111" w:rsidP="00805111">
      <w:pPr>
        <w:spacing w:after="0" w:line="360" w:lineRule="auto"/>
        <w:ind w:left="567"/>
        <w:contextualSpacing/>
        <w:jc w:val="both"/>
        <w:rPr>
          <w:rFonts w:ascii="Arial" w:eastAsia="Times New Roman" w:hAnsi="Arial" w:cs="David"/>
          <w:sz w:val="24"/>
          <w:szCs w:val="24"/>
        </w:rPr>
      </w:pPr>
    </w:p>
    <w:p w:rsidR="00805111" w:rsidRPr="00805111" w:rsidRDefault="00805111" w:rsidP="00805111">
      <w:pPr>
        <w:numPr>
          <w:ilvl w:val="0"/>
          <w:numId w:val="1"/>
        </w:numPr>
        <w:spacing w:after="0" w:line="360" w:lineRule="auto"/>
        <w:ind w:left="567" w:hanging="567"/>
        <w:contextualSpacing/>
        <w:jc w:val="both"/>
        <w:rPr>
          <w:rFonts w:ascii="Arial" w:eastAsia="Times New Roman" w:hAnsi="Arial" w:cs="David"/>
          <w:b/>
          <w:bCs/>
          <w:sz w:val="24"/>
          <w:szCs w:val="24"/>
        </w:rPr>
      </w:pPr>
      <w:r w:rsidRPr="00805111">
        <w:rPr>
          <w:rFonts w:ascii="Arial" w:eastAsia="Times New Roman" w:hAnsi="Arial" w:cs="David"/>
          <w:b/>
          <w:bCs/>
          <w:sz w:val="24"/>
          <w:szCs w:val="24"/>
          <w:rtl/>
        </w:rPr>
        <w:t xml:space="preserve">אין כל תועלת לקטינות עצמן לפרסומים הללו וטובתן איננה כי יבוצע הפרסום אלא למנוע אותו. המשיב עצמו לא הצביע על כל תועלת ועל כל טובה שתצמח לקטינות מהפרסומים הללו. </w:t>
      </w:r>
    </w:p>
    <w:p w:rsidR="00805111" w:rsidRPr="00805111" w:rsidRDefault="00805111" w:rsidP="00805111">
      <w:pPr>
        <w:spacing w:after="0" w:line="360" w:lineRule="auto"/>
        <w:ind w:left="567"/>
        <w:contextualSpacing/>
        <w:jc w:val="both"/>
        <w:rPr>
          <w:rFonts w:ascii="Arial" w:eastAsia="Times New Roman" w:hAnsi="Arial" w:cs="David"/>
          <w:sz w:val="24"/>
          <w:szCs w:val="24"/>
        </w:rPr>
      </w:pPr>
    </w:p>
    <w:p w:rsidR="00805111" w:rsidRPr="00805111" w:rsidRDefault="00805111" w:rsidP="00805111">
      <w:pPr>
        <w:numPr>
          <w:ilvl w:val="0"/>
          <w:numId w:val="1"/>
        </w:numPr>
        <w:spacing w:after="0" w:line="360" w:lineRule="auto"/>
        <w:ind w:left="567" w:hanging="567"/>
        <w:contextualSpacing/>
        <w:jc w:val="both"/>
        <w:rPr>
          <w:rFonts w:ascii="Arial" w:eastAsia="Times New Roman" w:hAnsi="Arial" w:cs="David"/>
          <w:sz w:val="24"/>
          <w:szCs w:val="24"/>
        </w:rPr>
      </w:pPr>
      <w:r w:rsidRPr="00805111">
        <w:rPr>
          <w:rFonts w:ascii="Arial" w:eastAsia="Times New Roman" w:hAnsi="Arial" w:cs="David"/>
          <w:sz w:val="24"/>
          <w:szCs w:val="24"/>
          <w:rtl/>
        </w:rPr>
        <w:t xml:space="preserve">ויודגש, כפי שגם ציינתי במסגרת סעיף 36 לפסק הדין בתמ"ש 30368-09-15, כי </w:t>
      </w:r>
      <w:r w:rsidRPr="00805111">
        <w:rPr>
          <w:rFonts w:ascii="Arial" w:eastAsia="Times New Roman" w:hAnsi="Arial" w:cs="Miriam"/>
          <w:sz w:val="24"/>
          <w:szCs w:val="24"/>
          <w:rtl/>
        </w:rPr>
        <w:t>לאב</w:t>
      </w:r>
      <w:r w:rsidRPr="00805111">
        <w:rPr>
          <w:rFonts w:ascii="Arial" w:eastAsia="Times New Roman" w:hAnsi="Arial" w:cs="David"/>
          <w:sz w:val="24"/>
          <w:szCs w:val="24"/>
          <w:rtl/>
        </w:rPr>
        <w:t xml:space="preserve"> </w:t>
      </w:r>
      <w:r w:rsidRPr="00805111">
        <w:rPr>
          <w:rFonts w:ascii="Arial" w:eastAsia="Times New Roman" w:hAnsi="Arial" w:cs="Miriam"/>
          <w:sz w:val="24"/>
          <w:szCs w:val="24"/>
          <w:rtl/>
        </w:rPr>
        <w:t>זכות לגיטימית למחאה ולפעולה לשינוי חברתי</w:t>
      </w:r>
      <w:r w:rsidRPr="00805111">
        <w:rPr>
          <w:rFonts w:ascii="Arial" w:eastAsia="Times New Roman" w:hAnsi="Arial" w:cs="David"/>
          <w:sz w:val="24"/>
          <w:szCs w:val="24"/>
          <w:rtl/>
        </w:rPr>
        <w:t xml:space="preserve">. </w:t>
      </w:r>
    </w:p>
    <w:p w:rsidR="00805111" w:rsidRPr="00805111" w:rsidRDefault="00805111" w:rsidP="00805111">
      <w:pPr>
        <w:spacing w:after="0" w:line="360" w:lineRule="auto"/>
        <w:ind w:left="567"/>
        <w:contextualSpacing/>
        <w:jc w:val="both"/>
        <w:rPr>
          <w:rFonts w:ascii="Arial" w:eastAsia="Times New Roman" w:hAnsi="Arial" w:cs="David"/>
          <w:sz w:val="24"/>
          <w:szCs w:val="24"/>
        </w:rPr>
      </w:pPr>
    </w:p>
    <w:p w:rsidR="00805111" w:rsidRPr="00805111" w:rsidRDefault="00805111" w:rsidP="00805111">
      <w:pPr>
        <w:numPr>
          <w:ilvl w:val="0"/>
          <w:numId w:val="1"/>
        </w:numPr>
        <w:spacing w:after="0" w:line="360" w:lineRule="auto"/>
        <w:ind w:left="567" w:hanging="567"/>
        <w:contextualSpacing/>
        <w:jc w:val="both"/>
        <w:rPr>
          <w:rFonts w:ascii="Arial" w:eastAsia="Times New Roman" w:hAnsi="Arial" w:cs="David"/>
          <w:sz w:val="24"/>
          <w:szCs w:val="24"/>
        </w:rPr>
      </w:pPr>
      <w:r w:rsidRPr="00805111">
        <w:rPr>
          <w:rFonts w:ascii="Arial" w:eastAsia="Times New Roman" w:hAnsi="Arial" w:cs="David"/>
          <w:sz w:val="24"/>
          <w:szCs w:val="24"/>
          <w:rtl/>
        </w:rPr>
        <w:t>עם זאת, אין מקום לניהול המאבק הציבורי באמצעות ההליכים המשפטיים בין הצדדים ובאמצעות הקטינות. כפי שציינתי שם:</w:t>
      </w:r>
    </w:p>
    <w:p w:rsidR="00805111" w:rsidRPr="00805111" w:rsidRDefault="00805111" w:rsidP="00805111">
      <w:pPr>
        <w:spacing w:after="0" w:line="360" w:lineRule="auto"/>
        <w:ind w:left="567"/>
        <w:contextualSpacing/>
        <w:jc w:val="both"/>
        <w:rPr>
          <w:rFonts w:ascii="Arial" w:eastAsia="Times New Roman" w:hAnsi="Arial" w:cs="David"/>
          <w:sz w:val="24"/>
          <w:szCs w:val="24"/>
        </w:rPr>
      </w:pPr>
    </w:p>
    <w:p w:rsidR="00805111" w:rsidRPr="00805111" w:rsidRDefault="00805111" w:rsidP="00805111">
      <w:pPr>
        <w:spacing w:after="0" w:line="360" w:lineRule="auto"/>
        <w:ind w:left="1275" w:right="1701"/>
        <w:contextualSpacing/>
        <w:jc w:val="both"/>
        <w:rPr>
          <w:rFonts w:ascii="Arial" w:eastAsia="Times New Roman" w:hAnsi="Arial" w:cs="David"/>
          <w:sz w:val="24"/>
          <w:szCs w:val="24"/>
        </w:rPr>
      </w:pPr>
      <w:r w:rsidRPr="00805111">
        <w:rPr>
          <w:rFonts w:ascii="Arial" w:eastAsia="Times New Roman" w:hAnsi="Arial" w:cs="David"/>
          <w:sz w:val="24"/>
          <w:szCs w:val="24"/>
          <w:rtl/>
        </w:rPr>
        <w:t xml:space="preserve">"עוד יובהר – מאחר והצדדים הפליגו בטיעוניהם בעניין זה – כי זכותו המלאה של האב למחות, במסגרת המחאה החברתית שאותה הוא רוצה להוביל, כנגד מה שנחשב בעיניו לאי סדרים הקשורים למצב חברתי ומערכתי שהוא רואה כשגוי ומוטעה ופעולותיו לצורך שינוי חברתי שהוא חפץ בו. זכות זו נתונה לאב ואין בכוונתי להגבילה כהוא זה. </w:t>
      </w:r>
      <w:r w:rsidRPr="00805111">
        <w:rPr>
          <w:rFonts w:ascii="Arial" w:eastAsia="Times New Roman" w:hAnsi="Arial" w:cs="David"/>
          <w:b/>
          <w:bCs/>
          <w:sz w:val="24"/>
          <w:szCs w:val="24"/>
          <w:rtl/>
        </w:rPr>
        <w:t>עם זאת ככל שאותה מחאה תחרוג מהעניין הציבורי לפרטי תוך עירוב הקטינות ותוך הפרת הצו ושיתוף ציבורי של פרטים מתוך התיק – הדבר לא יוכל להכלל תחת הרצון הלגיטימי למחאה ציבורית והובלת שינוי חברתי</w:t>
      </w:r>
      <w:r w:rsidRPr="00805111">
        <w:rPr>
          <w:rFonts w:ascii="Arial" w:eastAsia="Times New Roman" w:hAnsi="Arial" w:cs="David"/>
          <w:sz w:val="24"/>
          <w:szCs w:val="24"/>
          <w:rtl/>
        </w:rPr>
        <w:t>."</w:t>
      </w:r>
    </w:p>
    <w:p w:rsidR="00805111" w:rsidRPr="00805111" w:rsidRDefault="00805111" w:rsidP="00805111">
      <w:pPr>
        <w:spacing w:after="0" w:line="360" w:lineRule="auto"/>
        <w:ind w:left="567"/>
        <w:contextualSpacing/>
        <w:jc w:val="both"/>
        <w:rPr>
          <w:rFonts w:ascii="Arial" w:eastAsia="Times New Roman" w:hAnsi="Arial" w:cs="David"/>
          <w:sz w:val="24"/>
          <w:szCs w:val="24"/>
          <w:rtl/>
        </w:rPr>
      </w:pPr>
    </w:p>
    <w:p w:rsidR="00805111" w:rsidRPr="00805111" w:rsidRDefault="00805111" w:rsidP="00805111">
      <w:pPr>
        <w:spacing w:after="0" w:line="360" w:lineRule="auto"/>
        <w:ind w:left="567"/>
        <w:contextualSpacing/>
        <w:jc w:val="both"/>
        <w:rPr>
          <w:rFonts w:ascii="Arial" w:eastAsia="Times New Roman" w:hAnsi="Arial" w:cs="David"/>
          <w:sz w:val="24"/>
          <w:szCs w:val="24"/>
          <w:rtl/>
        </w:rPr>
      </w:pPr>
    </w:p>
    <w:p w:rsidR="00805111" w:rsidRPr="00805111" w:rsidRDefault="00805111" w:rsidP="00805111">
      <w:pPr>
        <w:spacing w:after="0" w:line="360" w:lineRule="auto"/>
        <w:ind w:left="567"/>
        <w:contextualSpacing/>
        <w:jc w:val="both"/>
        <w:rPr>
          <w:rFonts w:ascii="Arial" w:eastAsia="Times New Roman" w:hAnsi="Arial" w:cs="David"/>
          <w:sz w:val="24"/>
          <w:szCs w:val="24"/>
          <w:rtl/>
        </w:rPr>
      </w:pPr>
    </w:p>
    <w:p w:rsidR="00805111" w:rsidRPr="00805111" w:rsidRDefault="00805111" w:rsidP="00805111">
      <w:pPr>
        <w:spacing w:after="0" w:line="360" w:lineRule="auto"/>
        <w:ind w:left="567"/>
        <w:contextualSpacing/>
        <w:jc w:val="both"/>
        <w:rPr>
          <w:rFonts w:ascii="Arial" w:eastAsia="Times New Roman" w:hAnsi="Arial" w:cs="David"/>
          <w:sz w:val="24"/>
          <w:szCs w:val="24"/>
          <w:rtl/>
        </w:rPr>
      </w:pPr>
    </w:p>
    <w:p w:rsidR="00805111" w:rsidRPr="00805111" w:rsidRDefault="00805111" w:rsidP="00805111">
      <w:pPr>
        <w:spacing w:after="0" w:line="360" w:lineRule="auto"/>
        <w:ind w:left="567"/>
        <w:contextualSpacing/>
        <w:jc w:val="both"/>
        <w:rPr>
          <w:rFonts w:ascii="Arial" w:eastAsia="Times New Roman" w:hAnsi="Arial" w:cs="David"/>
          <w:sz w:val="24"/>
          <w:szCs w:val="24"/>
          <w:rtl/>
        </w:rPr>
      </w:pPr>
    </w:p>
    <w:p w:rsidR="00805111" w:rsidRPr="00805111" w:rsidRDefault="00805111" w:rsidP="00805111">
      <w:pPr>
        <w:numPr>
          <w:ilvl w:val="0"/>
          <w:numId w:val="1"/>
        </w:numPr>
        <w:spacing w:after="0" w:line="360" w:lineRule="auto"/>
        <w:ind w:left="567" w:hanging="567"/>
        <w:contextualSpacing/>
        <w:jc w:val="both"/>
        <w:rPr>
          <w:rFonts w:ascii="Arial" w:eastAsia="Times New Roman" w:hAnsi="Arial" w:cs="David"/>
          <w:sz w:val="24"/>
          <w:szCs w:val="24"/>
        </w:rPr>
      </w:pPr>
      <w:r w:rsidRPr="00805111">
        <w:rPr>
          <w:rFonts w:ascii="Arial" w:eastAsia="Times New Roman" w:hAnsi="Arial" w:cs="David"/>
          <w:b/>
          <w:bCs/>
          <w:sz w:val="24"/>
          <w:szCs w:val="24"/>
          <w:rtl/>
        </w:rPr>
        <w:lastRenderedPageBreak/>
        <w:t>אשר על כן, ולאור כל האמור, ניתן בזאת צו קבוע האוסר  על המשיב או מי מטעמו לפרסם כל תמונה ו/או מסמך הנוגעים לילדות או למבקשת בקשר עם ההליך המשפטי המתנהל בין הצדדים ו/או בקשר עם מרכז הקשר ו/או בקשר עם רשויות הרווחה, בין אם פורסמו בעבר או שטרם פורסמו, ומחייבו להסיר כל פרסום שכזה</w:t>
      </w:r>
      <w:r w:rsidRPr="00805111">
        <w:rPr>
          <w:rFonts w:ascii="Arial" w:eastAsia="Times New Roman" w:hAnsi="Arial" w:cs="David"/>
          <w:sz w:val="24"/>
          <w:szCs w:val="24"/>
          <w:rtl/>
        </w:rPr>
        <w:t>.</w:t>
      </w:r>
    </w:p>
    <w:p w:rsidR="00805111" w:rsidRPr="00805111" w:rsidRDefault="00805111" w:rsidP="00805111">
      <w:pPr>
        <w:spacing w:after="0" w:line="360" w:lineRule="auto"/>
        <w:ind w:left="567"/>
        <w:contextualSpacing/>
        <w:jc w:val="both"/>
        <w:rPr>
          <w:rFonts w:ascii="Arial" w:eastAsia="Times New Roman" w:hAnsi="Arial" w:cs="David"/>
          <w:sz w:val="24"/>
          <w:szCs w:val="24"/>
        </w:rPr>
      </w:pPr>
    </w:p>
    <w:p w:rsidR="00805111" w:rsidRPr="00805111" w:rsidRDefault="00805111" w:rsidP="00805111">
      <w:pPr>
        <w:numPr>
          <w:ilvl w:val="0"/>
          <w:numId w:val="1"/>
        </w:numPr>
        <w:spacing w:after="0" w:line="360" w:lineRule="auto"/>
        <w:ind w:left="567" w:hanging="567"/>
        <w:contextualSpacing/>
        <w:jc w:val="both"/>
        <w:rPr>
          <w:rFonts w:ascii="Arial" w:eastAsia="Times New Roman" w:hAnsi="Arial" w:cs="David"/>
          <w:sz w:val="24"/>
          <w:szCs w:val="24"/>
        </w:rPr>
      </w:pPr>
      <w:r w:rsidRPr="00805111">
        <w:rPr>
          <w:rFonts w:ascii="Arial" w:eastAsia="Times New Roman" w:hAnsi="Arial" w:cs="David"/>
          <w:b/>
          <w:bCs/>
          <w:sz w:val="24"/>
          <w:szCs w:val="24"/>
          <w:rtl/>
        </w:rPr>
        <w:t xml:space="preserve">ויודגש </w:t>
      </w:r>
      <w:r w:rsidRPr="00805111">
        <w:rPr>
          <w:rFonts w:ascii="Arial" w:eastAsia="Times New Roman" w:hAnsi="Arial" w:cs="David"/>
          <w:sz w:val="24"/>
          <w:szCs w:val="24"/>
          <w:rtl/>
        </w:rPr>
        <w:t>– מדובר בפרסומים המתייחסים למחלוקות בין הצדדים ולהליכים המשפטיים ביניהם ישירות ולא למאבק העקרוני של האב, שלגביו אין מגבלה. המגבלה היא כאשר הפרסומים נוגעים ישירות לקטינות או למבקשת בהתייחס להליכים המשפטיים ביניהם.</w:t>
      </w:r>
    </w:p>
    <w:p w:rsidR="00805111" w:rsidRPr="00805111" w:rsidRDefault="00805111" w:rsidP="00805111">
      <w:pPr>
        <w:spacing w:after="0" w:line="360" w:lineRule="auto"/>
        <w:ind w:left="567"/>
        <w:contextualSpacing/>
        <w:jc w:val="both"/>
        <w:rPr>
          <w:rFonts w:ascii="Arial" w:eastAsia="Times New Roman" w:hAnsi="Arial" w:cs="David"/>
          <w:sz w:val="24"/>
          <w:szCs w:val="24"/>
        </w:rPr>
      </w:pPr>
    </w:p>
    <w:p w:rsidR="00805111" w:rsidRPr="00805111" w:rsidRDefault="00805111" w:rsidP="00805111">
      <w:pPr>
        <w:numPr>
          <w:ilvl w:val="0"/>
          <w:numId w:val="1"/>
        </w:numPr>
        <w:spacing w:after="0" w:line="360" w:lineRule="auto"/>
        <w:ind w:left="567" w:hanging="567"/>
        <w:contextualSpacing/>
        <w:jc w:val="both"/>
        <w:rPr>
          <w:rFonts w:ascii="Arial" w:eastAsia="Times New Roman" w:hAnsi="Arial" w:cs="David"/>
          <w:sz w:val="24"/>
          <w:szCs w:val="24"/>
        </w:rPr>
      </w:pPr>
      <w:r w:rsidRPr="00805111">
        <w:rPr>
          <w:rFonts w:ascii="Arial" w:eastAsia="Times New Roman" w:hAnsi="Arial" w:cs="David"/>
          <w:sz w:val="24"/>
          <w:szCs w:val="24"/>
          <w:rtl/>
        </w:rPr>
        <w:t>המשיב יישא בהוצאות המבקשת בגין בקשה זו בסך 2,925 ₪.</w:t>
      </w:r>
    </w:p>
    <w:p w:rsidR="00805111" w:rsidRPr="00805111" w:rsidRDefault="00805111" w:rsidP="00805111">
      <w:pPr>
        <w:spacing w:after="0" w:line="360" w:lineRule="auto"/>
        <w:ind w:left="567"/>
        <w:contextualSpacing/>
        <w:jc w:val="both"/>
        <w:rPr>
          <w:rFonts w:ascii="Arial" w:eastAsia="Times New Roman" w:hAnsi="Arial" w:cs="David"/>
          <w:sz w:val="24"/>
          <w:szCs w:val="24"/>
        </w:rPr>
      </w:pPr>
    </w:p>
    <w:p w:rsidR="00805111" w:rsidRPr="00805111" w:rsidRDefault="00805111" w:rsidP="00805111">
      <w:pPr>
        <w:numPr>
          <w:ilvl w:val="0"/>
          <w:numId w:val="1"/>
        </w:numPr>
        <w:spacing w:after="0" w:line="360" w:lineRule="auto"/>
        <w:ind w:left="567" w:hanging="567"/>
        <w:contextualSpacing/>
        <w:jc w:val="both"/>
        <w:rPr>
          <w:rFonts w:ascii="Arial" w:eastAsia="Times New Roman" w:hAnsi="Arial" w:cs="David"/>
          <w:sz w:val="24"/>
          <w:szCs w:val="24"/>
          <w:rtl/>
        </w:rPr>
      </w:pPr>
      <w:r w:rsidRPr="00805111">
        <w:rPr>
          <w:rFonts w:ascii="Arial" w:eastAsia="Times New Roman" w:hAnsi="Arial" w:cs="David"/>
          <w:b/>
          <w:bCs/>
          <w:sz w:val="24"/>
          <w:szCs w:val="24"/>
          <w:u w:val="single"/>
          <w:rtl/>
        </w:rPr>
        <w:t>המזכירות</w:t>
      </w:r>
      <w:r w:rsidRPr="00805111">
        <w:rPr>
          <w:rFonts w:ascii="Arial" w:eastAsia="Times New Roman" w:hAnsi="Arial" w:cs="David"/>
          <w:sz w:val="24"/>
          <w:szCs w:val="24"/>
          <w:rtl/>
        </w:rPr>
        <w:t xml:space="preserve"> תסגור בקשה מס' 54 בתיק.     </w:t>
      </w:r>
    </w:p>
    <w:p w:rsidR="00805111" w:rsidRPr="00805111" w:rsidRDefault="00805111" w:rsidP="00805111">
      <w:pPr>
        <w:spacing w:after="0" w:line="360" w:lineRule="auto"/>
        <w:jc w:val="both"/>
        <w:rPr>
          <w:rFonts w:ascii="Arial" w:eastAsia="Times New Roman" w:hAnsi="Arial" w:cs="David"/>
          <w:sz w:val="24"/>
          <w:szCs w:val="24"/>
          <w:rtl/>
        </w:rPr>
      </w:pPr>
    </w:p>
    <w:p w:rsidR="00805111" w:rsidRPr="00805111" w:rsidRDefault="00805111" w:rsidP="00805111">
      <w:pPr>
        <w:spacing w:after="0" w:line="360" w:lineRule="auto"/>
        <w:jc w:val="both"/>
        <w:rPr>
          <w:rFonts w:ascii="Arial" w:eastAsia="Times New Roman" w:hAnsi="Arial" w:cs="David"/>
          <w:sz w:val="24"/>
          <w:szCs w:val="24"/>
          <w:rtl/>
        </w:rPr>
      </w:pPr>
      <w:r w:rsidRPr="00805111">
        <w:rPr>
          <w:rFonts w:ascii="Arial" w:eastAsia="Times New Roman" w:hAnsi="Arial" w:cs="David"/>
          <w:sz w:val="24"/>
          <w:szCs w:val="24"/>
          <w:rtl/>
        </w:rPr>
        <w:t>ניתן היום,  ג' טבת תשע"ו, 15 דצמבר 2015, בהעדר הצדדים.</w:t>
      </w:r>
    </w:p>
    <w:p w:rsidR="00805111" w:rsidRPr="00805111" w:rsidRDefault="00805111" w:rsidP="00805111">
      <w:pPr>
        <w:spacing w:after="0" w:line="360" w:lineRule="auto"/>
        <w:jc w:val="both"/>
        <w:rPr>
          <w:rFonts w:ascii="Arial" w:eastAsia="Times New Roman" w:hAnsi="Arial" w:cs="David"/>
          <w:sz w:val="24"/>
          <w:szCs w:val="24"/>
          <w:rtl/>
        </w:rPr>
      </w:pPr>
    </w:p>
    <w:p w:rsidR="00805111" w:rsidRPr="00805111" w:rsidRDefault="00805111" w:rsidP="00805111">
      <w:pPr>
        <w:spacing w:after="0" w:line="360" w:lineRule="auto"/>
        <w:ind w:left="3600" w:firstLine="720"/>
        <w:jc w:val="both"/>
        <w:rPr>
          <w:rFonts w:ascii="Times New Roman" w:eastAsia="Times New Roman" w:hAnsi="Times New Roman" w:cs="David"/>
          <w:noProof/>
          <w:sz w:val="24"/>
          <w:szCs w:val="24"/>
        </w:rPr>
      </w:pPr>
      <w:r w:rsidRPr="00805111">
        <w:rPr>
          <w:rFonts w:ascii="Times New Roman" w:eastAsia="Times New Roman" w:hAnsi="Times New Roman" w:cs="David"/>
          <w:noProof/>
          <w:sz w:val="24"/>
          <w:szCs w:val="24"/>
        </w:rPr>
        <w:drawing>
          <wp:inline distT="0" distB="0" distL="0" distR="0">
            <wp:extent cx="1600200" cy="800100"/>
            <wp:effectExtent l="0" t="0" r="0" b="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00200" cy="800100"/>
                    </a:xfrm>
                    <a:prstGeom prst="rect">
                      <a:avLst/>
                    </a:prstGeom>
                    <a:noFill/>
                    <a:ln>
                      <a:noFill/>
                    </a:ln>
                  </pic:spPr>
                </pic:pic>
              </a:graphicData>
            </a:graphic>
          </wp:inline>
        </w:drawing>
      </w:r>
    </w:p>
    <w:p w:rsidR="00805111" w:rsidRPr="00805111" w:rsidRDefault="00805111" w:rsidP="00805111">
      <w:pPr>
        <w:spacing w:after="0" w:line="360" w:lineRule="auto"/>
        <w:ind w:left="3600" w:firstLine="720"/>
        <w:jc w:val="both"/>
        <w:rPr>
          <w:rFonts w:ascii="Arial" w:eastAsia="Times New Roman" w:hAnsi="Arial" w:cs="David"/>
          <w:sz w:val="24"/>
          <w:szCs w:val="24"/>
          <w:rtl/>
        </w:rPr>
      </w:pPr>
    </w:p>
    <w:p w:rsidR="00805111" w:rsidRPr="00805111" w:rsidRDefault="00805111" w:rsidP="00805111">
      <w:pPr>
        <w:spacing w:after="0" w:line="360" w:lineRule="auto"/>
        <w:jc w:val="both"/>
        <w:rPr>
          <w:rFonts w:ascii="Arial" w:eastAsia="Times New Roman" w:hAnsi="Arial" w:cs="David"/>
          <w:sz w:val="24"/>
          <w:szCs w:val="24"/>
          <w:rtl/>
        </w:rPr>
      </w:pPr>
    </w:p>
    <w:p w:rsidR="00805111" w:rsidRPr="00805111" w:rsidRDefault="00805111" w:rsidP="00805111">
      <w:pPr>
        <w:spacing w:after="0" w:line="360" w:lineRule="auto"/>
        <w:jc w:val="both"/>
        <w:rPr>
          <w:rFonts w:ascii="Arial" w:eastAsia="Times New Roman" w:hAnsi="Arial" w:cs="David"/>
          <w:sz w:val="24"/>
          <w:szCs w:val="24"/>
          <w:rtl/>
        </w:rPr>
      </w:pPr>
    </w:p>
    <w:p w:rsidR="00805111" w:rsidRPr="00805111" w:rsidRDefault="00805111" w:rsidP="00805111">
      <w:pPr>
        <w:spacing w:after="0" w:line="360" w:lineRule="auto"/>
        <w:jc w:val="both"/>
        <w:rPr>
          <w:rFonts w:ascii="Arial" w:eastAsia="Times New Roman" w:hAnsi="Arial" w:cs="David"/>
          <w:sz w:val="24"/>
          <w:szCs w:val="24"/>
          <w:rtl/>
        </w:rPr>
      </w:pPr>
    </w:p>
    <w:p w:rsidR="0098277D" w:rsidRPr="005103A8" w:rsidRDefault="005103A8">
      <w:pPr>
        <w:rPr>
          <w:rFonts w:ascii="David" w:hAnsi="David" w:cs="David"/>
          <w:sz w:val="24"/>
          <w:szCs w:val="24"/>
        </w:rPr>
      </w:pPr>
      <w:r w:rsidRPr="005103A8">
        <w:rPr>
          <w:rFonts w:ascii="David" w:hAnsi="David" w:cs="David"/>
          <w:sz w:val="24"/>
          <w:szCs w:val="24"/>
          <w:rtl/>
        </w:rPr>
        <w:t>ההחלטה הותרה לפרסום ללא פרטים מזהים בהחלטה מיום 4.9.23</w:t>
      </w:r>
      <w:r>
        <w:rPr>
          <w:rFonts w:ascii="David" w:hAnsi="David" w:cs="David" w:hint="cs"/>
          <w:sz w:val="24"/>
          <w:szCs w:val="24"/>
          <w:rtl/>
        </w:rPr>
        <w:t>.</w:t>
      </w:r>
    </w:p>
    <w:sectPr w:rsidR="0098277D" w:rsidRPr="005103A8" w:rsidSect="002914D6">
      <w:headerReference w:type="default" r:id="rId8"/>
      <w:footerReference w:type="default" r:id="rId9"/>
      <w:pgSz w:w="11907" w:h="16840" w:code="9"/>
      <w:pgMar w:top="720" w:right="1701" w:bottom="431" w:left="1701" w:header="720" w:footer="1055"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0FD2" w:rsidRDefault="00EA0FD2" w:rsidP="00805111">
      <w:pPr>
        <w:spacing w:after="0" w:line="240" w:lineRule="auto"/>
      </w:pPr>
      <w:r>
        <w:separator/>
      </w:r>
    </w:p>
  </w:endnote>
  <w:endnote w:type="continuationSeparator" w:id="0">
    <w:p w:rsidR="00EA0FD2" w:rsidRDefault="00EA0FD2" w:rsidP="008051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2544" w:rsidRDefault="00CC02BA">
    <w:pPr>
      <w:pStyle w:val="a5"/>
      <w:jc w:val="center"/>
      <w:rPr>
        <w:rStyle w:val="a8"/>
        <w:rFonts w:cs="David"/>
      </w:rPr>
    </w:pPr>
    <w:r>
      <w:rPr>
        <w:rStyle w:val="a8"/>
        <w:rFonts w:cs="David"/>
      </w:rPr>
      <w:fldChar w:fldCharType="begin"/>
    </w:r>
    <w:r>
      <w:rPr>
        <w:rStyle w:val="a8"/>
        <w:rFonts w:cs="David"/>
      </w:rPr>
      <w:instrText xml:space="preserve"> PAGE </w:instrText>
    </w:r>
    <w:r>
      <w:rPr>
        <w:rStyle w:val="a8"/>
        <w:rFonts w:cs="David"/>
      </w:rPr>
      <w:fldChar w:fldCharType="separate"/>
    </w:r>
    <w:r w:rsidR="001B63A9">
      <w:rPr>
        <w:rStyle w:val="a8"/>
        <w:rFonts w:cs="David"/>
        <w:rtl/>
      </w:rPr>
      <w:t>1</w:t>
    </w:r>
    <w:r>
      <w:rPr>
        <w:rStyle w:val="a8"/>
        <w:rFonts w:cs="David"/>
      </w:rPr>
      <w:fldChar w:fldCharType="end"/>
    </w:r>
    <w:r>
      <w:rPr>
        <w:rStyle w:val="a8"/>
        <w:rFonts w:cs="David"/>
        <w:noProof w:val="0"/>
        <w:rtl/>
      </w:rPr>
      <w:t xml:space="preserve"> מתוך </w:t>
    </w:r>
    <w:r>
      <w:rPr>
        <w:rStyle w:val="a8"/>
        <w:rFonts w:cs="David"/>
      </w:rPr>
      <w:fldChar w:fldCharType="begin"/>
    </w:r>
    <w:r>
      <w:rPr>
        <w:rStyle w:val="a8"/>
        <w:rFonts w:cs="David"/>
      </w:rPr>
      <w:instrText xml:space="preserve"> NUMPAGES </w:instrText>
    </w:r>
    <w:r>
      <w:rPr>
        <w:rStyle w:val="a8"/>
        <w:rFonts w:cs="David"/>
      </w:rPr>
      <w:fldChar w:fldCharType="separate"/>
    </w:r>
    <w:r w:rsidR="001B63A9">
      <w:rPr>
        <w:rStyle w:val="a8"/>
        <w:rFonts w:cs="David"/>
        <w:rtl/>
      </w:rPr>
      <w:t>6</w:t>
    </w:r>
    <w:r>
      <w:rPr>
        <w:rStyle w:val="a8"/>
        <w:rFonts w:cs="Davi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0FD2" w:rsidRDefault="00EA0FD2" w:rsidP="00805111">
      <w:pPr>
        <w:spacing w:after="0" w:line="240" w:lineRule="auto"/>
      </w:pPr>
      <w:r>
        <w:separator/>
      </w:r>
    </w:p>
  </w:footnote>
  <w:footnote w:type="continuationSeparator" w:id="0">
    <w:p w:rsidR="00EA0FD2" w:rsidRDefault="00EA0FD2" w:rsidP="008051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2544" w:rsidRDefault="00805111">
    <w:pPr>
      <w:pStyle w:val="a3"/>
      <w:jc w:val="center"/>
      <w:rPr>
        <w:rFonts w:cs="FrankRuehl"/>
        <w:noProof w:val="0"/>
        <w:sz w:val="28"/>
        <w:szCs w:val="28"/>
        <w:rtl/>
      </w:rPr>
    </w:pPr>
    <w:r w:rsidRPr="00652C45">
      <w:rPr>
        <w:rFonts w:cs="FrankRuehl"/>
        <w:sz w:val="28"/>
        <w:szCs w:val="28"/>
      </w:rPr>
      <w:drawing>
        <wp:inline distT="0" distB="0" distL="0" distR="0">
          <wp:extent cx="371475" cy="466725"/>
          <wp:effectExtent l="0" t="0" r="9525" b="9525"/>
          <wp:docPr id="2" name="תמונה 2"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A62544">
      <w:trPr>
        <w:trHeight w:hRule="exact" w:val="418"/>
        <w:jc w:val="center"/>
      </w:trPr>
      <w:tc>
        <w:tcPr>
          <w:tcW w:w="8721" w:type="dxa"/>
          <w:gridSpan w:val="2"/>
        </w:tcPr>
        <w:p w:rsidR="00A62544" w:rsidRDefault="00CC02BA">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 יפו</w:t>
          </w:r>
        </w:p>
      </w:tc>
    </w:tr>
    <w:tr w:rsidR="00A62544">
      <w:trPr>
        <w:trHeight w:val="337"/>
        <w:jc w:val="center"/>
      </w:trPr>
      <w:tc>
        <w:tcPr>
          <w:tcW w:w="5047" w:type="dxa"/>
        </w:tcPr>
        <w:p w:rsidR="00A62544" w:rsidRDefault="00EA0FD2">
          <w:pPr>
            <w:rPr>
              <w:b/>
              <w:bCs/>
              <w:sz w:val="26"/>
              <w:szCs w:val="26"/>
              <w:rtl/>
            </w:rPr>
          </w:pPr>
        </w:p>
      </w:tc>
      <w:tc>
        <w:tcPr>
          <w:tcW w:w="3674" w:type="dxa"/>
        </w:tcPr>
        <w:p w:rsidR="00A62544" w:rsidRDefault="00EA0FD2">
          <w:pPr>
            <w:pStyle w:val="a3"/>
            <w:jc w:val="right"/>
            <w:rPr>
              <w:b/>
              <w:bCs/>
              <w:noProof w:val="0"/>
              <w:sz w:val="26"/>
              <w:szCs w:val="26"/>
              <w:rtl/>
            </w:rPr>
          </w:pPr>
        </w:p>
      </w:tc>
    </w:tr>
    <w:tr w:rsidR="00A62544">
      <w:trPr>
        <w:trHeight w:val="337"/>
        <w:jc w:val="center"/>
      </w:trPr>
      <w:tc>
        <w:tcPr>
          <w:tcW w:w="8721" w:type="dxa"/>
          <w:gridSpan w:val="2"/>
        </w:tcPr>
        <w:p w:rsidR="00A62544" w:rsidRPr="00805111" w:rsidRDefault="00805111" w:rsidP="008658EC">
          <w:pPr>
            <w:rPr>
              <w:rFonts w:cs="David"/>
              <w:b/>
              <w:bCs/>
              <w:sz w:val="26"/>
              <w:szCs w:val="26"/>
              <w:rtl/>
            </w:rPr>
          </w:pPr>
          <w:r>
            <w:rPr>
              <w:rFonts w:cs="David"/>
              <w:b/>
              <w:bCs/>
              <w:sz w:val="26"/>
              <w:szCs w:val="26"/>
              <w:rtl/>
            </w:rPr>
            <w:t xml:space="preserve">תמ"ש 3732-09-13 </w:t>
          </w:r>
          <w:r w:rsidR="005103A8">
            <w:rPr>
              <w:rFonts w:cs="David" w:hint="cs"/>
              <w:b/>
              <w:bCs/>
              <w:sz w:val="26"/>
              <w:szCs w:val="26"/>
              <w:rtl/>
            </w:rPr>
            <w:t xml:space="preserve"> פלונית נ' אלמוני</w:t>
          </w:r>
        </w:p>
      </w:tc>
    </w:tr>
  </w:tbl>
  <w:p w:rsidR="00A62544" w:rsidRDefault="00EA0FD2" w:rsidP="00805111">
    <w:pPr>
      <w:pStyle w:val="a3"/>
      <w:rPr>
        <w:noProof w:val="0"/>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DC2843"/>
    <w:multiLevelType w:val="hybridMultilevel"/>
    <w:tmpl w:val="05F6EA0A"/>
    <w:lvl w:ilvl="0" w:tplc="061260BE">
      <w:start w:val="1"/>
      <w:numFmt w:val="decimal"/>
      <w:lvlText w:val="%1."/>
      <w:lvlJc w:val="left"/>
      <w:pPr>
        <w:ind w:left="720" w:hanging="360"/>
      </w:pPr>
      <w:rPr>
        <w:rFonts w:cs="Times New Roman"/>
        <w:b w:val="0"/>
        <w:bCs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4B95"/>
    <w:rsid w:val="001B63A9"/>
    <w:rsid w:val="003B0410"/>
    <w:rsid w:val="003B0BC5"/>
    <w:rsid w:val="005103A8"/>
    <w:rsid w:val="00805111"/>
    <w:rsid w:val="008658EC"/>
    <w:rsid w:val="009712DA"/>
    <w:rsid w:val="0098277D"/>
    <w:rsid w:val="009A3611"/>
    <w:rsid w:val="00C14B95"/>
    <w:rsid w:val="00CC02BA"/>
    <w:rsid w:val="00D72463"/>
    <w:rsid w:val="00DE2FD7"/>
    <w:rsid w:val="00EA0FD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1CF03E8-E3E7-4C4A-BAA1-C941D13CF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805111"/>
    <w:pPr>
      <w:tabs>
        <w:tab w:val="center" w:pos="4153"/>
        <w:tab w:val="right" w:pos="8306"/>
      </w:tabs>
      <w:spacing w:after="0" w:line="240" w:lineRule="auto"/>
    </w:pPr>
    <w:rPr>
      <w:rFonts w:ascii="Times New Roman" w:eastAsia="Times New Roman" w:hAnsi="Times New Roman" w:cs="David"/>
      <w:noProof/>
      <w:sz w:val="24"/>
      <w:szCs w:val="24"/>
    </w:rPr>
  </w:style>
  <w:style w:type="character" w:customStyle="1" w:styleId="a4">
    <w:name w:val="כותרת עליונה תו"/>
    <w:basedOn w:val="a0"/>
    <w:link w:val="a3"/>
    <w:uiPriority w:val="99"/>
    <w:rsid w:val="00805111"/>
    <w:rPr>
      <w:rFonts w:ascii="Times New Roman" w:eastAsia="Times New Roman" w:hAnsi="Times New Roman" w:cs="David"/>
      <w:noProof/>
      <w:sz w:val="24"/>
      <w:szCs w:val="24"/>
    </w:rPr>
  </w:style>
  <w:style w:type="paragraph" w:styleId="a5">
    <w:name w:val="footer"/>
    <w:basedOn w:val="a"/>
    <w:link w:val="a6"/>
    <w:uiPriority w:val="99"/>
    <w:rsid w:val="00805111"/>
    <w:pPr>
      <w:tabs>
        <w:tab w:val="center" w:pos="4153"/>
        <w:tab w:val="right" w:pos="8306"/>
      </w:tabs>
      <w:spacing w:after="0" w:line="240" w:lineRule="auto"/>
    </w:pPr>
    <w:rPr>
      <w:rFonts w:ascii="Times New Roman" w:eastAsia="Times New Roman" w:hAnsi="Times New Roman" w:cs="David"/>
      <w:noProof/>
      <w:sz w:val="24"/>
      <w:szCs w:val="24"/>
    </w:rPr>
  </w:style>
  <w:style w:type="character" w:customStyle="1" w:styleId="a6">
    <w:name w:val="כותרת תחתונה תו"/>
    <w:basedOn w:val="a0"/>
    <w:link w:val="a5"/>
    <w:uiPriority w:val="99"/>
    <w:rsid w:val="00805111"/>
    <w:rPr>
      <w:rFonts w:ascii="Times New Roman" w:eastAsia="Times New Roman" w:hAnsi="Times New Roman" w:cs="David"/>
      <w:noProof/>
      <w:sz w:val="24"/>
      <w:szCs w:val="24"/>
    </w:rPr>
  </w:style>
  <w:style w:type="table" w:styleId="a7">
    <w:name w:val="Table Grid"/>
    <w:basedOn w:val="a1"/>
    <w:uiPriority w:val="39"/>
    <w:rsid w:val="00805111"/>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uiPriority w:val="99"/>
    <w:rsid w:val="00805111"/>
    <w:rPr>
      <w:rFonts w:cs="Times New Roman"/>
    </w:rPr>
  </w:style>
  <w:style w:type="character" w:styleId="a9">
    <w:name w:val="line number"/>
    <w:basedOn w:val="a0"/>
    <w:uiPriority w:val="99"/>
    <w:semiHidden/>
    <w:unhideWhenUsed/>
    <w:rsid w:val="00805111"/>
  </w:style>
  <w:style w:type="paragraph" w:styleId="aa">
    <w:name w:val="Balloon Text"/>
    <w:basedOn w:val="a"/>
    <w:link w:val="ab"/>
    <w:uiPriority w:val="99"/>
    <w:semiHidden/>
    <w:unhideWhenUsed/>
    <w:rsid w:val="008658EC"/>
    <w:pPr>
      <w:spacing w:after="0" w:line="240" w:lineRule="auto"/>
    </w:pPr>
    <w:rPr>
      <w:rFonts w:ascii="Tahoma" w:hAnsi="Tahoma" w:cs="Tahoma"/>
      <w:sz w:val="18"/>
      <w:szCs w:val="18"/>
    </w:rPr>
  </w:style>
  <w:style w:type="character" w:customStyle="1" w:styleId="ab">
    <w:name w:val="טקסט בלונים תו"/>
    <w:basedOn w:val="a0"/>
    <w:link w:val="aa"/>
    <w:uiPriority w:val="99"/>
    <w:semiHidden/>
    <w:rsid w:val="008658EC"/>
    <w:rPr>
      <w:rFonts w:ascii="Tahoma" w:hAnsi="Tahoma" w:cs="Tahom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1358</Words>
  <Characters>6795</Characters>
  <Application>Microsoft Office Word</Application>
  <DocSecurity>0</DocSecurity>
  <Lines>56</Lines>
  <Paragraphs>16</Paragraphs>
  <ScaleCrop>false</ScaleCrop>
  <HeadingPairs>
    <vt:vector size="2" baseType="variant">
      <vt:variant>
        <vt:lpstr>שם</vt:lpstr>
      </vt:variant>
      <vt:variant>
        <vt:i4>1</vt:i4>
      </vt:variant>
    </vt:vector>
  </HeadingPairs>
  <TitlesOfParts>
    <vt:vector size="1" baseType="lpstr">
      <vt:lpstr/>
    </vt:vector>
  </TitlesOfParts>
  <Company>court</Company>
  <LinksUpToDate>false</LinksUpToDate>
  <CharactersWithSpaces>8137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מעיין ברוך</dc:creator>
  <cp:keywords/>
  <dc:description/>
  <cp:lastModifiedBy>אסתר טטרואשילי</cp:lastModifiedBy>
  <cp:revision>2</cp:revision>
  <dcterms:created xsi:type="dcterms:W3CDTF">2023-09-20T11:25:00Z</dcterms:created>
  <dcterms:modified xsi:type="dcterms:W3CDTF">2023-09-20T11:25:00Z</dcterms:modified>
</cp:coreProperties>
</file>